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79458"/>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_Toc26476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一、总体情况</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_Toc26476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_Toc16311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pacing w:val="0"/>
              <w:w w:val="100"/>
              <w:position w:val="0"/>
              <w:sz w:val="32"/>
              <w:szCs w:val="32"/>
              <w:lang w:val="en-US" w:eastAsia="zh-CN"/>
            </w:rPr>
            <w:t>一</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pacing w:val="0"/>
              <w:w w:val="100"/>
              <w:position w:val="0"/>
              <w:sz w:val="32"/>
              <w:szCs w:val="32"/>
            </w:rPr>
            <w:t>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_Toc16311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_Toc32721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position w:val="0"/>
              <w:sz w:val="32"/>
              <w:szCs w:val="32"/>
              <w:lang w:val="en-US" w:eastAsia="zh-CN"/>
            </w:rPr>
            <w:t>（二）</w:t>
          </w:r>
          <w:r>
            <w:rPr>
              <w:rFonts w:hint="eastAsia" w:ascii="仿宋_GB2312" w:hAnsi="仿宋_GB2312" w:eastAsia="仿宋_GB2312" w:cs="仿宋_GB2312"/>
              <w:spacing w:val="0"/>
              <w:w w:val="100"/>
              <w:position w:val="0"/>
              <w:sz w:val="32"/>
              <w:szCs w:val="32"/>
            </w:rPr>
            <w:t>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_Toc32721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_Toc18247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lang w:val="en-US" w:eastAsia="zh-CN"/>
            </w:rPr>
            <w:t>三</w:t>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_Toc18247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_Toc29061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二、评估发现的问题</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_Toc29061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4</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_Toc10690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三、评估结果</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_Toc10690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5</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_Toc3975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_Toc27135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（一）政策措施抽样评估得分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_Toc27135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_Toc25007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（二）公平竞争审查第三方评估工作配合情况得分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_Toc25007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_Toc9734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w w:val="100"/>
              <w:kern w:val="0"/>
              <w:position w:val="0"/>
              <w:sz w:val="32"/>
              <w:szCs w:val="32"/>
              <w:lang w:val="en-US" w:eastAsia="zh-CN" w:bidi="ar"/>
            </w:rPr>
            <w:t>（三）公平竞争审查第三方评估最终得分</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_Toc9734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8</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_Toc21692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四、意见建议</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_Toc21692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8</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_Toc7063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kern w:val="2"/>
              <w:position w:val="0"/>
              <w:sz w:val="32"/>
              <w:szCs w:val="32"/>
              <w:lang w:val="en-US" w:eastAsia="zh-CN" w:bidi="ar"/>
            </w:rPr>
            <w:t>（一）强化责任落实，确保工作顺利开展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_Toc7063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_Toc15233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（二）加强宣传培训，增强审查意识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_Toc30212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_Toc30212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_Toc20647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_Toc20647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_Toc22378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附件一：经开区政策措施文件目录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_Toc22378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_Toc4256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附件二：经开区政策措施评估表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0" w:firstLineChars="200"/>
            <w:jc w:val="both"/>
            <w:textAlignment w:val="auto"/>
            <w:outlineLvl w:val="9"/>
            <w:rPr>
              <w:rFonts w:hint="eastAsia"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Cs/>
              <w:color w:val="auto"/>
              <w:spacing w:val="0"/>
              <w:kern w:val="2"/>
              <w:position w:val="0"/>
              <w:sz w:val="32"/>
              <w:szCs w:val="32"/>
              <w:lang w:val="en-US" w:eastAsia="zh-CN" w:bidi="ar"/>
            </w:rPr>
            <w:fldChar w:fldCharType="end"/>
          </w:r>
        </w:p>
      </w:sdtContent>
    </w:sdt>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0" w:name="_Toc26476"/>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sectPr>
          <w:footerReference r:id="rId3" w:type="default"/>
          <w:pgSz w:w="11906" w:h="16839"/>
          <w:pgMar w:top="2098" w:right="1474" w:bottom="1984" w:left="1587" w:header="850" w:footer="1417" w:gutter="0"/>
          <w:paperSrc/>
          <w:pgBorders>
            <w:top w:val="none" w:sz="0" w:space="0"/>
            <w:left w:val="none" w:sz="0" w:space="0"/>
            <w:bottom w:val="none" w:sz="0" w:space="0"/>
            <w:right w:val="none" w:sz="0" w:space="0"/>
          </w:pgBorders>
          <w:pgNumType w:fmt="decimal"/>
          <w:cols w:space="0" w:num="1"/>
          <w:rtlGutter w:val="0"/>
          <w:docGrid w:linePitch="0" w:charSpace="0"/>
        </w:sectPr>
      </w:pP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rPr>
      </w:pPr>
      <w:r>
        <w:rPr>
          <w:rFonts w:hint="eastAsia" w:ascii="仿宋_GB2312" w:hAnsi="仿宋_GB2312" w:eastAsia="仿宋_GB2312" w:cs="仿宋_GB2312"/>
          <w:bCs w:val="0"/>
          <w:color w:val="auto"/>
          <w:spacing w:val="0"/>
          <w:w w:val="100"/>
          <w:position w:val="0"/>
          <w:sz w:val="32"/>
          <w:szCs w:val="32"/>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但同时也要看到，地方保护、行业壁垒等不符合建设全国统一市场和公平竞争的现象仍然存在。</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rPr>
      </w:pPr>
      <w:r>
        <w:rPr>
          <w:rFonts w:hint="eastAsia" w:ascii="仿宋_GB2312" w:hAnsi="仿宋_GB2312" w:eastAsia="仿宋_GB2312" w:cs="仿宋_GB2312"/>
          <w:bCs w:val="0"/>
          <w:color w:val="auto"/>
          <w:spacing w:val="0"/>
          <w:w w:val="100"/>
          <w:position w:val="0"/>
          <w:sz w:val="32"/>
          <w:szCs w:val="32"/>
        </w:rPr>
        <w:t>为规范政府有</w:t>
      </w:r>
      <w:r>
        <w:rPr>
          <w:rFonts w:hint="eastAsia" w:ascii="仿宋_GB2312" w:hAnsi="仿宋_GB2312" w:eastAsia="仿宋_GB2312" w:cs="仿宋_GB2312"/>
          <w:bCs w:val="0"/>
          <w:color w:val="auto"/>
          <w:spacing w:val="0"/>
          <w:w w:val="100"/>
          <w:position w:val="0"/>
          <w:sz w:val="32"/>
          <w:szCs w:val="32"/>
        </w:rPr>
        <w:t>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国发〔2016〕34号</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下文简称《意见》</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部署建立公平竞争审查制度。</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eastAsia="zh-CN"/>
        </w:rPr>
      </w:pPr>
      <w:r>
        <w:rPr>
          <w:rFonts w:hint="eastAsia" w:ascii="仿宋_GB2312" w:hAnsi="仿宋_GB2312" w:eastAsia="仿宋_GB2312" w:cs="仿宋_GB2312"/>
          <w:bCs w:val="0"/>
          <w:color w:val="auto"/>
          <w:spacing w:val="0"/>
          <w:w w:val="100"/>
          <w:position w:val="0"/>
          <w:sz w:val="32"/>
          <w:szCs w:val="32"/>
        </w:rPr>
        <w:t>在我国公平竞争审查制度中，第三方评估被作为一项重要的机制写入基本的制度设计。202</w:t>
      </w:r>
      <w:r>
        <w:rPr>
          <w:rFonts w:hint="eastAsia" w:ascii="仿宋_GB2312" w:hAnsi="仿宋_GB2312" w:eastAsia="仿宋_GB2312" w:cs="仿宋_GB2312"/>
          <w:bCs w:val="0"/>
          <w:color w:val="auto"/>
          <w:spacing w:val="0"/>
          <w:w w:val="100"/>
          <w:position w:val="0"/>
          <w:sz w:val="32"/>
          <w:szCs w:val="32"/>
          <w:lang w:val="en-US" w:eastAsia="zh-CN"/>
        </w:rPr>
        <w:t>1年，</w:t>
      </w:r>
      <w:r>
        <w:rPr>
          <w:rFonts w:hint="eastAsia" w:ascii="仿宋_GB2312" w:hAnsi="仿宋_GB2312" w:eastAsia="仿宋_GB2312" w:cs="仿宋_GB2312"/>
          <w:bCs w:val="0"/>
          <w:color w:val="auto"/>
          <w:spacing w:val="0"/>
          <w:w w:val="100"/>
          <w:position w:val="0"/>
          <w:sz w:val="32"/>
          <w:szCs w:val="32"/>
        </w:rPr>
        <w:t>市场监管总局、国家发展改革委、财政部、商务部、司法部会同有关部门修订的《公平竞争审查制度实施细则》</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下文简称《实施细则》</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设立专章“第三方评</w:t>
      </w:r>
      <w:bookmarkStart w:id="42" w:name="_GoBack"/>
      <w:bookmarkEnd w:id="42"/>
      <w:r>
        <w:rPr>
          <w:rFonts w:hint="eastAsia" w:ascii="仿宋_GB2312" w:hAnsi="仿宋_GB2312" w:eastAsia="仿宋_GB2312" w:cs="仿宋_GB2312"/>
          <w:bCs w:val="0"/>
          <w:color w:val="auto"/>
          <w:spacing w:val="0"/>
          <w:w w:val="100"/>
          <w:position w:val="0"/>
          <w:sz w:val="32"/>
          <w:szCs w:val="32"/>
        </w:rPr>
        <w:t>估”</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对有关第三方评估问题予以明确，该《实施细则》第二十条规定：“政策制定机关可以根据工作实际，委托具备相应评估能力的高等院校、科研院所</w:t>
      </w:r>
      <w:r>
        <w:rPr>
          <w:rFonts w:hint="eastAsia" w:ascii="仿宋_GB2312" w:hAnsi="仿宋_GB2312" w:eastAsia="仿宋_GB2312" w:cs="仿宋_GB2312"/>
          <w:bCs w:val="0"/>
          <w:color w:val="auto"/>
          <w:spacing w:val="0"/>
          <w:w w:val="100"/>
          <w:position w:val="0"/>
          <w:sz w:val="32"/>
          <w:szCs w:val="32"/>
          <w:lang w:eastAsia="zh-CN"/>
        </w:rPr>
        <w:t>、专业咨询公司</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lang w:val="en-US" w:eastAsia="zh-CN"/>
        </w:rPr>
        <w:t>律师事务所</w:t>
      </w:r>
      <w:r>
        <w:rPr>
          <w:rFonts w:hint="eastAsia" w:ascii="仿宋_GB2312" w:hAnsi="仿宋_GB2312" w:eastAsia="仿宋_GB2312" w:cs="仿宋_GB2312"/>
          <w:bCs w:val="0"/>
          <w:color w:val="auto"/>
          <w:spacing w:val="0"/>
          <w:w w:val="100"/>
          <w:position w:val="0"/>
          <w:sz w:val="32"/>
          <w:szCs w:val="32"/>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w:t>
      </w:r>
    </w:p>
    <w:p>
      <w:pPr>
        <w:keepNext w:val="0"/>
        <w:keepLines w:val="0"/>
        <w:pageBreakBefore w:val="0"/>
        <w:widowControl w:val="0"/>
        <w:tabs>
          <w:tab w:val="left" w:pos="1181"/>
        </w:tabs>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position w:val="0"/>
          <w:sz w:val="32"/>
          <w:szCs w:val="32"/>
        </w:rPr>
      </w:pPr>
      <w:r>
        <w:rPr>
          <w:rFonts w:hint="eastAsia" w:ascii="仿宋_GB2312" w:hAnsi="仿宋_GB2312" w:eastAsia="仿宋_GB2312" w:cs="仿宋_GB2312"/>
          <w:bCs w:val="0"/>
          <w:color w:val="auto"/>
          <w:spacing w:val="0"/>
          <w:w w:val="100"/>
          <w:position w:val="0"/>
          <w:sz w:val="32"/>
          <w:szCs w:val="32"/>
        </w:rPr>
        <w:t>2022年3月25日</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tabs>
          <w:tab w:val="left" w:pos="1181"/>
        </w:tabs>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kern w:val="2"/>
          <w:position w:val="0"/>
          <w:sz w:val="32"/>
          <w:szCs w:val="32"/>
        </w:rPr>
      </w:pPr>
      <w:r>
        <w:rPr>
          <w:rFonts w:hint="eastAsia" w:ascii="仿宋_GB2312" w:hAnsi="仿宋_GB2312" w:eastAsia="仿宋_GB2312" w:cs="仿宋_GB2312"/>
          <w:bCs w:val="0"/>
          <w:color w:val="auto"/>
          <w:spacing w:val="0"/>
          <w:w w:val="10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部门联席会议办公室经过询价，遴选甘肃金彤律师事务所对张掖市</w:t>
      </w:r>
      <w:r>
        <w:rPr>
          <w:rFonts w:hint="eastAsia" w:ascii="仿宋_GB2312" w:hAnsi="仿宋_GB2312" w:eastAsia="仿宋_GB2312" w:cs="仿宋_GB2312"/>
          <w:bCs w:val="0"/>
          <w:color w:val="auto"/>
          <w:spacing w:val="0"/>
          <w:w w:val="100"/>
          <w:kern w:val="2"/>
          <w:position w:val="0"/>
          <w:sz w:val="32"/>
          <w:szCs w:val="32"/>
          <w:lang w:val="en-US" w:eastAsia="zh-CN" w:bidi="ar"/>
        </w:rPr>
        <w:t>22个市直部门单位</w:t>
      </w:r>
      <w:r>
        <w:rPr>
          <w:rFonts w:hint="eastAsia" w:ascii="仿宋_GB2312" w:hAnsi="仿宋_GB2312" w:eastAsia="仿宋_GB2312" w:cs="仿宋_GB2312"/>
          <w:bCs w:val="0"/>
          <w:color w:val="auto"/>
          <w:spacing w:val="0"/>
          <w:w w:val="100"/>
          <w:kern w:val="2"/>
          <w:position w:val="0"/>
          <w:sz w:val="32"/>
          <w:szCs w:val="32"/>
          <w:lang w:val="en-US" w:eastAsia="zh-CN" w:bidi="ar"/>
        </w:rPr>
        <w:t>、</w:t>
      </w:r>
      <w:r>
        <w:rPr>
          <w:rFonts w:hint="eastAsia" w:ascii="仿宋_GB2312" w:hAnsi="仿宋_GB2312" w:eastAsia="仿宋_GB2312" w:cs="仿宋_GB2312"/>
          <w:bCs w:val="0"/>
          <w:color w:val="auto"/>
          <w:spacing w:val="0"/>
          <w:w w:val="100"/>
          <w:kern w:val="2"/>
          <w:position w:val="0"/>
          <w:sz w:val="32"/>
          <w:szCs w:val="32"/>
          <w:lang w:val="en-US" w:eastAsia="zh-CN" w:bidi="ar"/>
        </w:rPr>
        <w:t>6个县区</w:t>
      </w:r>
      <w:r>
        <w:rPr>
          <w:rFonts w:hint="eastAsia" w:ascii="仿宋_GB2312" w:hAnsi="仿宋_GB2312" w:eastAsia="仿宋_GB2312" w:cs="仿宋_GB2312"/>
          <w:bCs w:val="0"/>
          <w:color w:val="auto"/>
          <w:spacing w:val="0"/>
          <w:w w:val="100"/>
          <w:kern w:val="2"/>
          <w:position w:val="0"/>
          <w:sz w:val="32"/>
          <w:szCs w:val="32"/>
          <w:lang w:val="en-US" w:eastAsia="zh-CN" w:bidi="ar"/>
        </w:rPr>
        <w:t>和张掖市经济技术开发区的公平竞争审查制度实施情况进行综合评估。</w:t>
      </w:r>
    </w:p>
    <w:p>
      <w:pPr>
        <w:keepNext w:val="0"/>
        <w:keepLines w:val="0"/>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b w:val="0"/>
          <w:bCs/>
          <w:color w:val="auto"/>
          <w:spacing w:val="0"/>
          <w:w w:val="100"/>
          <w:kern w:val="2"/>
          <w:position w:val="0"/>
          <w:sz w:val="32"/>
          <w:szCs w:val="32"/>
          <w:lang w:val="en-US" w:eastAsia="zh-CN" w:bidi="ar"/>
        </w:rPr>
        <w:t>经过评估机构审查</w:t>
      </w:r>
      <w:r>
        <w:rPr>
          <w:rFonts w:hint="eastAsia" w:ascii="仿宋_GB2312" w:hAnsi="仿宋_GB2312" w:eastAsia="仿宋_GB2312" w:cs="仿宋_GB2312"/>
          <w:color w:val="auto"/>
          <w:spacing w:val="0"/>
          <w:w w:val="100"/>
          <w:position w:val="0"/>
          <w:sz w:val="32"/>
          <w:szCs w:val="32"/>
          <w:lang w:val="en-US" w:eastAsia="zh-CN"/>
        </w:rPr>
        <w:t>张掖市经济技术开发区提供的材料，</w:t>
      </w:r>
      <w:r>
        <w:rPr>
          <w:rFonts w:hint="eastAsia" w:ascii="仿宋_GB2312" w:hAnsi="仿宋_GB2312" w:eastAsia="仿宋_GB2312" w:cs="仿宋_GB2312"/>
          <w:color w:val="auto"/>
          <w:spacing w:val="0"/>
          <w:w w:val="100"/>
          <w:position w:val="0"/>
          <w:sz w:val="32"/>
          <w:szCs w:val="32"/>
        </w:rPr>
        <w:t>系统总结</w:t>
      </w:r>
      <w:r>
        <w:rPr>
          <w:rFonts w:hint="eastAsia" w:ascii="仿宋_GB2312" w:hAnsi="仿宋_GB2312" w:eastAsia="仿宋_GB2312" w:cs="仿宋_GB2312"/>
          <w:color w:val="auto"/>
          <w:spacing w:val="0"/>
          <w:w w:val="100"/>
          <w:position w:val="0"/>
          <w:sz w:val="32"/>
          <w:szCs w:val="32"/>
          <w:lang w:val="en-US" w:eastAsia="zh-CN"/>
        </w:rPr>
        <w:t>张掖市经济技术开发区</w:t>
      </w:r>
      <w:r>
        <w:rPr>
          <w:rFonts w:hint="eastAsia" w:ascii="仿宋_GB2312" w:hAnsi="仿宋_GB2312" w:eastAsia="仿宋_GB2312" w:cs="仿宋_GB2312"/>
          <w:color w:val="auto"/>
          <w:spacing w:val="0"/>
          <w:w w:val="100"/>
          <w:position w:val="0"/>
          <w:sz w:val="32"/>
          <w:szCs w:val="32"/>
        </w:rPr>
        <w:t>落实公平竞争审查制度</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rPr>
        <w:t>论证公平竞争制度的环境成效，梳理分析可能存在的问题和原因，提出进一步完善的意见建议。评估总体情况如下：</w:t>
      </w:r>
    </w:p>
    <w:p>
      <w:pPr>
        <w:keepNext w:val="0"/>
        <w:keepLines w:val="0"/>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仿宋_GB2312" w:hAnsi="仿宋_GB2312" w:eastAsia="仿宋_GB2312" w:cs="仿宋_GB2312"/>
          <w:color w:val="auto"/>
          <w:spacing w:val="0"/>
          <w:w w:val="100"/>
          <w:position w:val="0"/>
          <w:sz w:val="32"/>
          <w:szCs w:val="32"/>
        </w:rPr>
      </w:pPr>
      <w:bookmarkStart w:id="1" w:name="_Toc16311"/>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一</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rPr>
        <w:t>政策措施评估情况</w:t>
      </w:r>
      <w:bookmarkEnd w:id="1"/>
    </w:p>
    <w:p>
      <w:pPr>
        <w:keepNext w:val="0"/>
        <w:keepLines w:val="0"/>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张掖市经济技术开发区提交的2021—2022年度6份政策措施，其中有1份政策措施内容违反公平竞争审查标准；</w:t>
      </w:r>
      <w:r>
        <w:rPr>
          <w:rFonts w:hint="eastAsia" w:ascii="仿宋_GB2312" w:hAnsi="仿宋_GB2312" w:eastAsia="仿宋_GB2312" w:cs="仿宋_GB2312"/>
          <w:color w:val="auto"/>
          <w:spacing w:val="0"/>
          <w:w w:val="100"/>
          <w:position w:val="0"/>
          <w:sz w:val="32"/>
          <w:szCs w:val="32"/>
          <w:lang w:val="en-US" w:eastAsia="zh-CN"/>
        </w:rPr>
        <w:t>6份政策措施均未履行征求利害关系人或公众意见程序。</w:t>
      </w:r>
    </w:p>
    <w:p>
      <w:pPr>
        <w:keepNext w:val="0"/>
        <w:keepLines w:val="0"/>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仿宋_GB2312" w:hAnsi="仿宋_GB2312" w:eastAsia="仿宋_GB2312" w:cs="仿宋_GB2312"/>
          <w:color w:val="auto"/>
          <w:spacing w:val="0"/>
          <w:w w:val="100"/>
          <w:position w:val="0"/>
          <w:sz w:val="32"/>
          <w:szCs w:val="32"/>
        </w:rPr>
      </w:pPr>
      <w:bookmarkStart w:id="2" w:name="_Toc32721"/>
      <w:r>
        <w:rPr>
          <w:rFonts w:hint="eastAsia" w:ascii="仿宋_GB2312" w:hAnsi="仿宋_GB2312" w:eastAsia="仿宋_GB2312" w:cs="仿宋_GB2312"/>
          <w:color w:val="auto"/>
          <w:spacing w:val="0"/>
          <w:w w:val="100"/>
          <w:position w:val="0"/>
          <w:sz w:val="32"/>
          <w:szCs w:val="32"/>
          <w:lang w:val="en-US" w:eastAsia="zh-CN"/>
        </w:rPr>
        <w:t>（二）</w:t>
      </w:r>
      <w:r>
        <w:rPr>
          <w:rFonts w:hint="eastAsia" w:ascii="仿宋_GB2312" w:hAnsi="仿宋_GB2312" w:eastAsia="仿宋_GB2312" w:cs="仿宋_GB2312"/>
          <w:color w:val="auto"/>
          <w:spacing w:val="0"/>
          <w:w w:val="100"/>
          <w:position w:val="0"/>
          <w:sz w:val="32"/>
          <w:szCs w:val="32"/>
        </w:rPr>
        <w:t>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val="0"/>
          <w:color w:val="auto"/>
          <w:spacing w:val="0"/>
          <w:w w:val="100"/>
          <w:kern w:val="2"/>
          <w:position w:val="0"/>
          <w:sz w:val="30"/>
          <w:szCs w:val="30"/>
          <w:lang w:val="en-US" w:eastAsia="zh-CN" w:bidi="ar"/>
        </w:rPr>
      </w:pPr>
      <w:r>
        <w:rPr>
          <w:rFonts w:hint="eastAsia" w:ascii="仿宋_GB2312" w:hAnsi="仿宋_GB2312" w:eastAsia="仿宋_GB2312" w:cs="仿宋_GB2312"/>
          <w:color w:val="auto"/>
          <w:spacing w:val="0"/>
          <w:w w:val="100"/>
          <w:position w:val="0"/>
          <w:sz w:val="32"/>
          <w:szCs w:val="32"/>
          <w:lang w:val="en-US" w:eastAsia="zh-CN"/>
        </w:rPr>
        <w:t>针对</w:t>
      </w:r>
      <w:r>
        <w:rPr>
          <w:rFonts w:hint="eastAsia" w:ascii="仿宋_GB2312" w:hAnsi="仿宋_GB2312" w:eastAsia="仿宋_GB2312" w:cs="仿宋_GB2312"/>
          <w:color w:val="auto"/>
          <w:spacing w:val="0"/>
          <w:w w:val="100"/>
          <w:position w:val="0"/>
          <w:sz w:val="32"/>
          <w:szCs w:val="32"/>
          <w:lang w:val="en-US" w:eastAsia="zh-CN"/>
        </w:rPr>
        <w:t>存量政策措施</w:t>
      </w:r>
      <w:r>
        <w:rPr>
          <w:rFonts w:hint="eastAsia" w:ascii="仿宋_GB2312" w:hAnsi="仿宋_GB2312" w:eastAsia="仿宋_GB2312" w:cs="仿宋_GB2312"/>
          <w:color w:val="auto"/>
          <w:spacing w:val="0"/>
          <w:w w:val="100"/>
          <w:position w:val="0"/>
          <w:sz w:val="32"/>
          <w:szCs w:val="32"/>
          <w:lang w:val="en-US" w:eastAsia="zh-CN"/>
        </w:rPr>
        <w:t>，张掖市经济技术开发区已开展</w:t>
      </w:r>
      <w:r>
        <w:rPr>
          <w:rFonts w:hint="eastAsia" w:ascii="仿宋_GB2312" w:hAnsi="仿宋_GB2312" w:eastAsia="仿宋_GB2312" w:cs="仿宋_GB2312"/>
          <w:color w:val="auto"/>
          <w:spacing w:val="0"/>
          <w:w w:val="100"/>
          <w:position w:val="0"/>
          <w:sz w:val="32"/>
          <w:szCs w:val="32"/>
        </w:rPr>
        <w:t>审查</w:t>
      </w:r>
      <w:r>
        <w:rPr>
          <w:rFonts w:hint="eastAsia" w:ascii="仿宋_GB2312" w:hAnsi="仿宋_GB2312" w:eastAsia="仿宋_GB2312" w:cs="仿宋_GB2312"/>
          <w:color w:val="auto"/>
          <w:spacing w:val="0"/>
          <w:w w:val="100"/>
          <w:position w:val="0"/>
          <w:sz w:val="32"/>
          <w:szCs w:val="32"/>
          <w:lang w:val="en-US" w:eastAsia="zh-CN"/>
        </w:rPr>
        <w:t>清理</w:t>
      </w:r>
      <w:r>
        <w:rPr>
          <w:rFonts w:hint="eastAsia" w:ascii="仿宋_GB2312" w:hAnsi="仿宋_GB2312" w:eastAsia="仿宋_GB2312" w:cs="仿宋_GB2312"/>
          <w:color w:val="auto"/>
          <w:spacing w:val="0"/>
          <w:w w:val="100"/>
          <w:position w:val="0"/>
          <w:sz w:val="32"/>
          <w:szCs w:val="32"/>
        </w:rPr>
        <w:t>工作</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b w:val="0"/>
          <w:bCs w:val="0"/>
          <w:color w:val="auto"/>
          <w:spacing w:val="0"/>
          <w:w w:val="100"/>
          <w:kern w:val="2"/>
          <w:position w:val="0"/>
          <w:sz w:val="30"/>
          <w:szCs w:val="30"/>
          <w:lang w:eastAsia="zh-CN" w:bidi="ar"/>
        </w:rPr>
        <w:t>并</w:t>
      </w:r>
      <w:r>
        <w:rPr>
          <w:rFonts w:hint="eastAsia" w:ascii="仿宋_GB2312" w:hAnsi="仿宋_GB2312" w:eastAsia="仿宋_GB2312" w:cs="仿宋_GB2312"/>
          <w:b w:val="0"/>
          <w:bCs w:val="0"/>
          <w:color w:val="auto"/>
          <w:spacing w:val="0"/>
          <w:w w:val="100"/>
          <w:kern w:val="2"/>
          <w:position w:val="0"/>
          <w:sz w:val="30"/>
          <w:szCs w:val="30"/>
          <w:lang w:val="en-US" w:eastAsia="zh-CN" w:bidi="ar"/>
        </w:rPr>
        <w:t>对2021—2022年度公平竞争审查审查工作情况进行书面总结。</w:t>
      </w:r>
    </w:p>
    <w:p>
      <w:pPr>
        <w:keepNext w:val="0"/>
        <w:keepLines w:val="0"/>
        <w:pageBreakBefore w:val="0"/>
        <w:widowControl w:val="0"/>
        <w:suppressLineNumbers w:val="0"/>
        <w:kinsoku/>
        <w:wordWrap/>
        <w:overflowPunct/>
        <w:topLinePunct/>
        <w:autoSpaceDE/>
        <w:autoSpaceDN/>
        <w:bidi w:val="0"/>
        <w:adjustRightInd/>
        <w:snapToGrid/>
        <w:spacing w:line="540" w:lineRule="exact"/>
        <w:ind w:left="0" w:leftChars="0" w:right="0" w:firstLine="600" w:firstLineChars="200"/>
        <w:jc w:val="both"/>
        <w:textAlignment w:val="auto"/>
        <w:outlineLvl w:val="9"/>
        <w:rPr>
          <w:rFonts w:hint="eastAsia" w:ascii="仿宋_GB2312" w:hAnsi="仿宋_GB2312" w:eastAsia="仿宋_GB2312" w:cs="仿宋_GB2312"/>
          <w:b w:val="0"/>
          <w:bCs w:val="0"/>
          <w:color w:val="auto"/>
          <w:spacing w:val="0"/>
          <w:w w:val="100"/>
          <w:position w:val="0"/>
          <w:sz w:val="30"/>
          <w:szCs w:val="30"/>
        </w:rPr>
      </w:pPr>
      <w:r>
        <w:rPr>
          <w:rFonts w:hint="eastAsia" w:ascii="仿宋_GB2312" w:hAnsi="仿宋_GB2312" w:eastAsia="仿宋_GB2312" w:cs="仿宋_GB2312"/>
          <w:b w:val="0"/>
          <w:bCs w:val="0"/>
          <w:color w:val="auto"/>
          <w:spacing w:val="0"/>
          <w:w w:val="100"/>
          <w:position w:val="0"/>
          <w:sz w:val="30"/>
          <w:szCs w:val="30"/>
        </w:rPr>
        <w:t>对于涉及市场主体经济活动的存量</w:t>
      </w:r>
      <w:r>
        <w:rPr>
          <w:rFonts w:hint="eastAsia" w:ascii="仿宋_GB2312" w:hAnsi="仿宋_GB2312" w:eastAsia="仿宋_GB2312" w:cs="仿宋_GB2312"/>
          <w:b w:val="0"/>
          <w:bCs w:val="0"/>
          <w:color w:val="auto"/>
          <w:spacing w:val="0"/>
          <w:w w:val="100"/>
          <w:position w:val="0"/>
          <w:sz w:val="30"/>
          <w:szCs w:val="30"/>
          <w:lang w:eastAsia="zh-CN"/>
        </w:rPr>
        <w:t>政策</w:t>
      </w:r>
      <w:r>
        <w:rPr>
          <w:rFonts w:hint="eastAsia" w:ascii="仿宋_GB2312" w:hAnsi="仿宋_GB2312" w:eastAsia="仿宋_GB2312" w:cs="仿宋_GB2312"/>
          <w:b w:val="0"/>
          <w:bCs w:val="0"/>
          <w:color w:val="auto"/>
          <w:spacing w:val="0"/>
          <w:w w:val="100"/>
          <w:position w:val="0"/>
          <w:sz w:val="30"/>
          <w:szCs w:val="30"/>
        </w:rPr>
        <w:t>措施，</w:t>
      </w:r>
      <w:r>
        <w:rPr>
          <w:rFonts w:hint="eastAsia" w:ascii="仿宋_GB2312" w:hAnsi="仿宋_GB2312" w:eastAsia="仿宋_GB2312" w:cs="仿宋_GB2312"/>
          <w:b w:val="0"/>
          <w:bCs w:val="0"/>
          <w:color w:val="auto"/>
          <w:spacing w:val="0"/>
          <w:w w:val="100"/>
          <w:position w:val="0"/>
          <w:sz w:val="30"/>
          <w:szCs w:val="30"/>
          <w:lang w:eastAsia="zh-CN"/>
        </w:rPr>
        <w:t>张掖市经济技术开发区</w:t>
      </w:r>
      <w:r>
        <w:rPr>
          <w:rFonts w:hint="eastAsia" w:ascii="仿宋_GB2312" w:hAnsi="仿宋_GB2312" w:eastAsia="仿宋_GB2312" w:cs="仿宋_GB2312"/>
          <w:b w:val="0"/>
          <w:bCs w:val="0"/>
          <w:color w:val="auto"/>
          <w:spacing w:val="0"/>
          <w:w w:val="100"/>
          <w:position w:val="0"/>
          <w:sz w:val="30"/>
          <w:szCs w:val="30"/>
        </w:rPr>
        <w:t>进行了内部审查和清理，形成了</w:t>
      </w:r>
      <w:r>
        <w:rPr>
          <w:rFonts w:hint="eastAsia" w:ascii="仿宋_GB2312" w:hAnsi="仿宋_GB2312" w:eastAsia="仿宋_GB2312" w:cs="仿宋_GB2312"/>
          <w:b w:val="0"/>
          <w:bCs w:val="0"/>
          <w:color w:val="auto"/>
          <w:spacing w:val="0"/>
          <w:w w:val="100"/>
          <w:position w:val="0"/>
          <w:sz w:val="30"/>
          <w:szCs w:val="30"/>
          <w:highlight w:val="none"/>
        </w:rPr>
        <w:t>《</w:t>
      </w:r>
      <w:r>
        <w:rPr>
          <w:rFonts w:hint="eastAsia" w:ascii="仿宋_GB2312" w:hAnsi="仿宋_GB2312" w:eastAsia="仿宋_GB2312" w:cs="仿宋_GB2312"/>
          <w:b w:val="0"/>
          <w:bCs w:val="0"/>
          <w:color w:val="auto"/>
          <w:spacing w:val="0"/>
          <w:w w:val="100"/>
          <w:position w:val="0"/>
          <w:sz w:val="30"/>
          <w:szCs w:val="30"/>
          <w:highlight w:val="none"/>
          <w:lang w:eastAsia="zh-CN"/>
        </w:rPr>
        <w:t>张掖经济技术开发区管理委员会关于</w:t>
      </w:r>
      <w:r>
        <w:rPr>
          <w:rFonts w:hint="eastAsia" w:ascii="仿宋_GB2312" w:hAnsi="仿宋_GB2312" w:eastAsia="仿宋_GB2312" w:cs="仿宋_GB2312"/>
          <w:b w:val="0"/>
          <w:bCs w:val="0"/>
          <w:color w:val="auto"/>
          <w:spacing w:val="0"/>
          <w:w w:val="100"/>
          <w:position w:val="0"/>
          <w:sz w:val="30"/>
          <w:szCs w:val="30"/>
          <w:highlight w:val="none"/>
          <w:lang w:val="en-US" w:eastAsia="zh-CN"/>
        </w:rPr>
        <w:t>2022年度公平竞争审查自查工作的报告</w:t>
      </w:r>
      <w:r>
        <w:rPr>
          <w:rFonts w:hint="eastAsia" w:ascii="仿宋_GB2312" w:hAnsi="仿宋_GB2312" w:eastAsia="仿宋_GB2312" w:cs="仿宋_GB2312"/>
          <w:b w:val="0"/>
          <w:bCs w:val="0"/>
          <w:color w:val="auto"/>
          <w:spacing w:val="0"/>
          <w:w w:val="100"/>
          <w:position w:val="0"/>
          <w:sz w:val="30"/>
          <w:szCs w:val="30"/>
          <w:highlight w:val="none"/>
        </w:rPr>
        <w:t>》</w:t>
      </w:r>
      <w:r>
        <w:rPr>
          <w:rFonts w:hint="eastAsia" w:ascii="仿宋_GB2312" w:hAnsi="仿宋_GB2312" w:eastAsia="仿宋_GB2312" w:cs="仿宋_GB2312"/>
          <w:b w:val="0"/>
          <w:bCs w:val="0"/>
          <w:color w:val="auto"/>
          <w:spacing w:val="0"/>
          <w:w w:val="100"/>
          <w:kern w:val="0"/>
          <w:position w:val="0"/>
          <w:sz w:val="30"/>
          <w:szCs w:val="30"/>
          <w:lang w:val="en-US" w:eastAsia="zh-CN" w:bidi="ar"/>
        </w:rPr>
        <w:t>，对本单位存量政策措施清理工作进行了总结。</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仿宋_GB2312" w:hAnsi="仿宋_GB2312" w:eastAsia="仿宋_GB2312" w:cs="仿宋_GB2312"/>
          <w:bCs w:val="0"/>
          <w:color w:val="auto"/>
          <w:spacing w:val="0"/>
          <w:w w:val="100"/>
          <w:position w:val="0"/>
          <w:sz w:val="32"/>
          <w:szCs w:val="32"/>
        </w:rPr>
      </w:pPr>
      <w:bookmarkStart w:id="3" w:name="_bookmark2"/>
      <w:bookmarkEnd w:id="3"/>
      <w:bookmarkStart w:id="4" w:name="_Toc18247"/>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lang w:val="en-US" w:eastAsia="zh-CN"/>
        </w:rPr>
        <w:t>三</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工作部署落实情况</w:t>
      </w:r>
      <w:bookmarkEnd w:id="4"/>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kern w:val="2"/>
          <w:position w:val="0"/>
          <w:sz w:val="32"/>
          <w:szCs w:val="32"/>
          <w:lang w:val="en-US" w:eastAsia="zh-CN" w:bidi="ar"/>
        </w:rPr>
      </w:pPr>
      <w:r>
        <w:rPr>
          <w:rFonts w:hint="eastAsia" w:ascii="仿宋_GB2312" w:hAnsi="仿宋_GB2312" w:eastAsia="仿宋_GB2312" w:cs="仿宋_GB2312"/>
          <w:bCs w:val="0"/>
          <w:color w:val="auto"/>
          <w:spacing w:val="0"/>
          <w:w w:val="100"/>
          <w:kern w:val="2"/>
          <w:position w:val="0"/>
          <w:sz w:val="32"/>
          <w:szCs w:val="32"/>
          <w:lang w:val="en-US" w:eastAsia="zh-CN" w:bidi="ar"/>
        </w:rPr>
        <w:t>为建立健全公平竞争审查工作机制，推动</w:t>
      </w:r>
      <w:r>
        <w:rPr>
          <w:rFonts w:hint="eastAsia" w:ascii="仿宋_GB2312" w:hAnsi="仿宋_GB2312" w:eastAsia="仿宋_GB2312" w:cs="仿宋_GB2312"/>
          <w:color w:val="auto"/>
          <w:spacing w:val="0"/>
          <w:w w:val="100"/>
          <w:position w:val="0"/>
          <w:sz w:val="32"/>
          <w:szCs w:val="32"/>
          <w:lang w:val="en-US" w:eastAsia="zh-CN"/>
        </w:rPr>
        <w:t>张掖市经济技术开发区</w:t>
      </w:r>
      <w:r>
        <w:rPr>
          <w:rFonts w:hint="eastAsia" w:ascii="仿宋_GB2312" w:hAnsi="仿宋_GB2312" w:eastAsia="仿宋_GB2312" w:cs="仿宋_GB2312"/>
          <w:bCs w:val="0"/>
          <w:color w:val="auto"/>
          <w:spacing w:val="0"/>
          <w:w w:val="100"/>
          <w:kern w:val="2"/>
          <w:position w:val="0"/>
          <w:sz w:val="32"/>
          <w:szCs w:val="32"/>
          <w:lang w:val="en-US" w:eastAsia="zh-CN" w:bidi="ar"/>
        </w:rPr>
        <w:t>公平竞争审查工作的贯彻落实，</w:t>
      </w:r>
      <w:r>
        <w:rPr>
          <w:rFonts w:hint="eastAsia" w:ascii="仿宋_GB2312" w:hAnsi="仿宋_GB2312" w:eastAsia="仿宋_GB2312" w:cs="仿宋_GB2312"/>
          <w:color w:val="auto"/>
          <w:spacing w:val="0"/>
          <w:w w:val="100"/>
          <w:position w:val="0"/>
          <w:sz w:val="32"/>
          <w:szCs w:val="32"/>
          <w:lang w:val="en-US" w:eastAsia="zh-CN"/>
        </w:rPr>
        <w:t>张掖市经济技术开发区</w:t>
      </w:r>
      <w:r>
        <w:rPr>
          <w:rFonts w:hint="eastAsia" w:ascii="仿宋_GB2312" w:hAnsi="仿宋_GB2312" w:eastAsia="仿宋_GB2312" w:cs="仿宋_GB2312"/>
          <w:bCs w:val="0"/>
          <w:color w:val="auto"/>
          <w:spacing w:val="0"/>
          <w:w w:val="100"/>
          <w:kern w:val="2"/>
          <w:position w:val="0"/>
          <w:sz w:val="32"/>
          <w:szCs w:val="32"/>
          <w:lang w:val="en-US" w:eastAsia="zh-CN" w:bidi="ar"/>
        </w:rPr>
        <w:t>结合工作实际，已制定</w:t>
      </w:r>
      <w:r>
        <w:rPr>
          <w:rFonts w:hint="eastAsia" w:ascii="仿宋_GB2312" w:hAnsi="仿宋_GB2312" w:eastAsia="仿宋_GB2312" w:cs="仿宋_GB2312"/>
          <w:color w:val="auto"/>
          <w:spacing w:val="0"/>
          <w:w w:val="100"/>
          <w:kern w:val="2"/>
          <w:position w:val="0"/>
          <w:sz w:val="32"/>
          <w:szCs w:val="32"/>
          <w:lang w:val="en-US" w:eastAsia="zh-CN" w:bidi="ar"/>
        </w:rPr>
        <w:t>《</w:t>
      </w:r>
      <w:r>
        <w:rPr>
          <w:rFonts w:hint="eastAsia" w:ascii="仿宋_GB2312" w:hAnsi="仿宋_GB2312" w:eastAsia="仿宋_GB2312" w:cs="仿宋_GB2312"/>
          <w:color w:val="auto"/>
          <w:spacing w:val="0"/>
          <w:w w:val="100"/>
          <w:position w:val="0"/>
          <w:sz w:val="32"/>
          <w:szCs w:val="32"/>
          <w:lang w:val="en-US" w:eastAsia="zh-CN"/>
        </w:rPr>
        <w:t>张掖市经济技术开发区</w:t>
      </w:r>
      <w:r>
        <w:rPr>
          <w:rFonts w:hint="eastAsia" w:ascii="仿宋_GB2312" w:hAnsi="仿宋_GB2312" w:eastAsia="仿宋_GB2312" w:cs="仿宋_GB2312"/>
          <w:color w:val="auto"/>
          <w:spacing w:val="0"/>
          <w:w w:val="100"/>
          <w:kern w:val="2"/>
          <w:position w:val="0"/>
          <w:sz w:val="32"/>
          <w:szCs w:val="32"/>
          <w:lang w:val="en-US" w:eastAsia="zh-CN" w:bidi="ar"/>
        </w:rPr>
        <w:t>公平竞争实施细则》</w:t>
      </w:r>
      <w:r>
        <w:rPr>
          <w:rFonts w:hint="eastAsia" w:ascii="仿宋_GB2312" w:hAnsi="仿宋_GB2312" w:eastAsia="仿宋_GB2312" w:cs="仿宋_GB2312"/>
          <w:bCs w:val="0"/>
          <w:color w:val="auto"/>
          <w:spacing w:val="0"/>
          <w:w w:val="100"/>
          <w:kern w:val="2"/>
          <w:position w:val="0"/>
          <w:sz w:val="32"/>
          <w:szCs w:val="32"/>
          <w:lang w:val="en-US" w:eastAsia="zh-CN" w:bidi="ar"/>
        </w:rPr>
        <w:t>，组织人员集中学习反垄断法等法律法规，开展公平竞争审查内容的宣传与学习。</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kern w:val="2"/>
          <w:position w:val="0"/>
          <w:sz w:val="32"/>
          <w:szCs w:val="32"/>
        </w:rPr>
      </w:pPr>
      <w:r>
        <w:rPr>
          <w:rFonts w:hint="eastAsia" w:ascii="仿宋_GB2312" w:hAnsi="仿宋_GB2312" w:eastAsia="仿宋_GB2312" w:cs="仿宋_GB2312"/>
          <w:bCs w:val="0"/>
          <w:color w:val="auto"/>
          <w:spacing w:val="0"/>
          <w:w w:val="100"/>
          <w:kern w:val="2"/>
          <w:position w:val="0"/>
          <w:sz w:val="32"/>
          <w:szCs w:val="32"/>
          <w:lang w:val="en-US" w:eastAsia="zh-CN" w:bidi="ar"/>
        </w:rPr>
        <w:t>目前，张掖市经济技术开发区的公平竞争审查制度、审查流程和审查人员配置均已完善。</w:t>
      </w: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5" w:name="_Toc29061"/>
      <w:r>
        <w:rPr>
          <w:rFonts w:hint="eastAsia" w:ascii="黑体" w:hAnsi="黑体" w:eastAsia="黑体" w:cs="黑体"/>
          <w:b w:val="0"/>
          <w:bCs/>
          <w:color w:val="auto"/>
          <w:spacing w:val="0"/>
          <w:kern w:val="2"/>
          <w:position w:val="0"/>
          <w:sz w:val="32"/>
          <w:szCs w:val="32"/>
          <w:lang w:val="en-US" w:eastAsia="zh-CN" w:bidi="ar"/>
        </w:rPr>
        <w:t>二、评估发现的问题</w:t>
      </w:r>
      <w:bookmarkEnd w:id="5"/>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eastAsia="zh-CN"/>
        </w:rPr>
      </w:pPr>
      <w:r>
        <w:rPr>
          <w:rFonts w:hint="eastAsia" w:ascii="仿宋_GB2312" w:hAnsi="仿宋_GB2312" w:eastAsia="仿宋_GB2312" w:cs="仿宋_GB2312"/>
          <w:bCs w:val="0"/>
          <w:color w:val="auto"/>
          <w:spacing w:val="0"/>
          <w:w w:val="100"/>
          <w:position w:val="0"/>
          <w:sz w:val="32"/>
          <w:szCs w:val="32"/>
        </w:rPr>
        <w:t>公平竞争审查</w:t>
      </w:r>
      <w:r>
        <w:rPr>
          <w:rFonts w:hint="eastAsia" w:ascii="仿宋_GB2312" w:hAnsi="仿宋_GB2312" w:eastAsia="仿宋_GB2312" w:cs="仿宋_GB2312"/>
          <w:bCs w:val="0"/>
          <w:color w:val="auto"/>
          <w:spacing w:val="0"/>
          <w:w w:val="100"/>
          <w:position w:val="0"/>
          <w:sz w:val="32"/>
          <w:szCs w:val="32"/>
          <w:lang w:eastAsia="zh-CN"/>
        </w:rPr>
        <w:t>工作</w:t>
      </w:r>
      <w:r>
        <w:rPr>
          <w:rFonts w:hint="eastAsia" w:ascii="仿宋_GB2312" w:hAnsi="仿宋_GB2312" w:eastAsia="仿宋_GB2312" w:cs="仿宋_GB2312"/>
          <w:bCs w:val="0"/>
          <w:color w:val="auto"/>
          <w:spacing w:val="0"/>
          <w:w w:val="100"/>
          <w:position w:val="0"/>
          <w:sz w:val="32"/>
          <w:szCs w:val="32"/>
        </w:rPr>
        <w:t>涉及法学、经济学和其他专业学科的交叉，对工作人员的素质和能力要求较高，再加上经济活动的复杂性以及新经济、新业态的快速发展，要求在行政资源和专业人才方面给予切实保障。目前我</w:t>
      </w:r>
      <w:r>
        <w:rPr>
          <w:rFonts w:hint="eastAsia" w:ascii="仿宋_GB2312" w:hAnsi="仿宋_GB2312" w:eastAsia="仿宋_GB2312" w:cs="仿宋_GB2312"/>
          <w:bCs w:val="0"/>
          <w:color w:val="auto"/>
          <w:spacing w:val="0"/>
          <w:w w:val="100"/>
          <w:position w:val="0"/>
          <w:sz w:val="32"/>
          <w:szCs w:val="32"/>
          <w:lang w:val="en-US" w:eastAsia="zh-CN"/>
        </w:rPr>
        <w:t>市</w:t>
      </w:r>
      <w:r>
        <w:rPr>
          <w:rFonts w:hint="eastAsia" w:ascii="仿宋_GB2312" w:hAnsi="仿宋_GB2312" w:eastAsia="仿宋_GB2312" w:cs="仿宋_GB2312"/>
          <w:bCs w:val="0"/>
          <w:color w:val="auto"/>
          <w:spacing w:val="0"/>
          <w:w w:val="100"/>
          <w:position w:val="0"/>
          <w:sz w:val="32"/>
          <w:szCs w:val="32"/>
        </w:rPr>
        <w:t>开展公平竞争审查工作机制虽已建立，但由于该项工作处于起步阶段，各成员单位还处在学习探索阶段。公平竞争工作的内部自我</w:t>
      </w:r>
      <w:r>
        <w:rPr>
          <w:rFonts w:hint="eastAsia" w:ascii="仿宋_GB2312" w:hAnsi="仿宋_GB2312" w:eastAsia="仿宋_GB2312" w:cs="仿宋_GB2312"/>
          <w:bCs w:val="0"/>
          <w:color w:val="auto"/>
          <w:spacing w:val="0"/>
          <w:w w:val="100"/>
          <w:position w:val="0"/>
          <w:sz w:val="32"/>
          <w:szCs w:val="32"/>
          <w:lang w:val="en-US" w:eastAsia="zh-CN"/>
        </w:rPr>
        <w:t>审</w:t>
      </w:r>
      <w:r>
        <w:rPr>
          <w:rFonts w:hint="eastAsia" w:ascii="仿宋_GB2312" w:hAnsi="仿宋_GB2312" w:eastAsia="仿宋_GB2312" w:cs="仿宋_GB2312"/>
          <w:bCs w:val="0"/>
          <w:color w:val="auto"/>
          <w:spacing w:val="0"/>
          <w:w w:val="100"/>
          <w:position w:val="0"/>
          <w:sz w:val="32"/>
          <w:szCs w:val="32"/>
        </w:rPr>
        <w:t>查对各单位的法制工作者的业务素质、学习能力、法律素养提出了更高的要求，加上法制队伍人手</w:t>
      </w:r>
      <w:r>
        <w:rPr>
          <w:rFonts w:hint="eastAsia" w:ascii="仿宋_GB2312" w:hAnsi="仿宋_GB2312" w:eastAsia="仿宋_GB2312" w:cs="仿宋_GB2312"/>
          <w:bCs w:val="0"/>
          <w:color w:val="auto"/>
          <w:spacing w:val="0"/>
          <w:w w:val="100"/>
          <w:position w:val="0"/>
          <w:sz w:val="32"/>
          <w:szCs w:val="32"/>
          <w:lang w:val="en-US" w:eastAsia="zh-CN"/>
        </w:rPr>
        <w:t>短缺，</w:t>
      </w:r>
      <w:r>
        <w:rPr>
          <w:rFonts w:hint="eastAsia" w:ascii="仿宋_GB2312" w:hAnsi="仿宋_GB2312" w:eastAsia="仿宋_GB2312" w:cs="仿宋_GB2312"/>
          <w:bCs w:val="0"/>
          <w:color w:val="auto"/>
          <w:spacing w:val="0"/>
          <w:w w:val="100"/>
          <w:position w:val="0"/>
          <w:sz w:val="32"/>
          <w:szCs w:val="32"/>
        </w:rPr>
        <w:t>导致</w:t>
      </w:r>
      <w:r>
        <w:rPr>
          <w:rFonts w:hint="eastAsia" w:ascii="仿宋_GB2312" w:hAnsi="仿宋_GB2312" w:eastAsia="仿宋_GB2312" w:cs="仿宋_GB2312"/>
          <w:bCs w:val="0"/>
          <w:color w:val="auto"/>
          <w:spacing w:val="0"/>
          <w:w w:val="100"/>
          <w:position w:val="0"/>
          <w:sz w:val="32"/>
          <w:szCs w:val="32"/>
          <w:lang w:val="en-US" w:eastAsia="zh-CN"/>
        </w:rPr>
        <w:t>张掖市经济技术开发区</w:t>
      </w:r>
      <w:r>
        <w:rPr>
          <w:rFonts w:hint="eastAsia" w:ascii="仿宋_GB2312" w:hAnsi="仿宋_GB2312" w:eastAsia="仿宋_GB2312" w:cs="仿宋_GB2312"/>
          <w:bCs w:val="0"/>
          <w:color w:val="auto"/>
          <w:spacing w:val="0"/>
          <w:w w:val="100"/>
          <w:position w:val="0"/>
          <w:sz w:val="32"/>
          <w:szCs w:val="32"/>
        </w:rPr>
        <w:t>公平竞争审查工作仍存在一定程度不足</w:t>
      </w:r>
      <w:r>
        <w:rPr>
          <w:rFonts w:hint="eastAsia" w:ascii="仿宋_GB2312" w:hAnsi="仿宋_GB2312" w:eastAsia="仿宋_GB2312" w:cs="仿宋_GB2312"/>
          <w:bCs w:val="0"/>
          <w:color w:val="auto"/>
          <w:spacing w:val="0"/>
          <w:w w:val="100"/>
          <w:position w:val="0"/>
          <w:sz w:val="32"/>
          <w:szCs w:val="32"/>
          <w:lang w:eastAsia="zh-CN"/>
        </w:rPr>
        <w:t>，致使部分部分政策措施违反公平竞争审查标准</w:t>
      </w:r>
      <w:r>
        <w:rPr>
          <w:rFonts w:hint="eastAsia" w:ascii="仿宋_GB2312" w:hAnsi="仿宋_GB2312" w:eastAsia="仿宋_GB2312" w:cs="仿宋_GB2312"/>
          <w:b/>
          <w:bCs/>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lang w:eastAsia="zh-CN"/>
        </w:rPr>
        <w:t>具体如下：</w:t>
      </w:r>
    </w:p>
    <w:p>
      <w:pPr>
        <w:pStyle w:val="23"/>
        <w:keepNext/>
        <w:keepLines/>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楷体_GB2312" w:hAnsi="楷体_GB2312" w:eastAsia="楷体_GB2312" w:cs="楷体_GB2312"/>
          <w:color w:val="auto"/>
          <w:spacing w:val="0"/>
          <w:w w:val="100"/>
          <w:position w:val="0"/>
          <w:sz w:val="32"/>
          <w:szCs w:val="32"/>
          <w:lang w:eastAsia="zh-CN"/>
        </w:rPr>
      </w:pPr>
      <w:bookmarkStart w:id="6" w:name="_Toc31759"/>
      <w:bookmarkStart w:id="7" w:name="_Toc26907"/>
      <w:r>
        <w:rPr>
          <w:rFonts w:hint="eastAsia" w:ascii="楷体_GB2312" w:hAnsi="楷体_GB2312" w:eastAsia="楷体_GB2312" w:cs="楷体_GB2312"/>
          <w:color w:val="auto"/>
          <w:spacing w:val="0"/>
          <w:w w:val="100"/>
          <w:position w:val="0"/>
          <w:sz w:val="32"/>
          <w:szCs w:val="32"/>
          <w:lang w:eastAsia="zh-CN"/>
        </w:rPr>
        <w:t>（一）</w:t>
      </w:r>
      <w:r>
        <w:rPr>
          <w:rFonts w:hint="eastAsia" w:ascii="楷体_GB2312" w:hAnsi="楷体_GB2312" w:eastAsia="楷体_GB2312" w:cs="楷体_GB2312"/>
          <w:color w:val="auto"/>
          <w:spacing w:val="0"/>
          <w:w w:val="100"/>
          <w:position w:val="0"/>
          <w:sz w:val="32"/>
          <w:szCs w:val="32"/>
        </w:rPr>
        <w:t>《</w:t>
      </w:r>
      <w:r>
        <w:rPr>
          <w:rFonts w:hint="eastAsia" w:ascii="楷体_GB2312" w:hAnsi="楷体_GB2312" w:eastAsia="楷体_GB2312" w:cs="楷体_GB2312"/>
          <w:b w:val="0"/>
          <w:bCs w:val="0"/>
          <w:i w:val="0"/>
          <w:iCs w:val="0"/>
          <w:color w:val="auto"/>
          <w:spacing w:val="0"/>
          <w:w w:val="100"/>
          <w:position w:val="0"/>
          <w:sz w:val="32"/>
          <w:szCs w:val="32"/>
        </w:rPr>
        <w:t>张掖经济技术开发区招商引资奖励及产业发展扶持优惠办法</w:t>
      </w:r>
      <w:r>
        <w:rPr>
          <w:rFonts w:hint="eastAsia" w:ascii="楷体_GB2312" w:hAnsi="楷体_GB2312" w:eastAsia="楷体_GB2312" w:cs="楷体_GB2312"/>
          <w:color w:val="auto"/>
          <w:spacing w:val="0"/>
          <w:w w:val="100"/>
          <w:position w:val="0"/>
          <w:sz w:val="32"/>
          <w:szCs w:val="32"/>
        </w:rPr>
        <w:t>》</w:t>
      </w:r>
      <w:r>
        <w:rPr>
          <w:rFonts w:hint="eastAsia" w:ascii="楷体_GB2312" w:hAnsi="楷体_GB2312" w:eastAsia="楷体_GB2312" w:cs="楷体_GB2312"/>
          <w:color w:val="auto"/>
          <w:spacing w:val="0"/>
          <w:w w:val="100"/>
          <w:position w:val="0"/>
          <w:sz w:val="32"/>
          <w:szCs w:val="32"/>
          <w:lang w:eastAsia="zh-CN"/>
        </w:rPr>
        <w:t>（张经党字</w:t>
      </w:r>
      <w:r>
        <w:rPr>
          <w:rFonts w:hint="eastAsia" w:ascii="楷体_GB2312" w:hAnsi="楷体_GB2312" w:eastAsia="楷体_GB2312" w:cs="楷体_GB2312"/>
          <w:color w:val="auto"/>
          <w:spacing w:val="0"/>
          <w:w w:val="100"/>
          <w:position w:val="0"/>
          <w:sz w:val="32"/>
          <w:szCs w:val="32"/>
        </w:rPr>
        <w:t>〔2022〕</w:t>
      </w:r>
      <w:r>
        <w:rPr>
          <w:rFonts w:hint="eastAsia" w:ascii="楷体_GB2312" w:hAnsi="楷体_GB2312" w:eastAsia="楷体_GB2312" w:cs="楷体_GB2312"/>
          <w:color w:val="auto"/>
          <w:spacing w:val="0"/>
          <w:w w:val="100"/>
          <w:position w:val="0"/>
          <w:sz w:val="32"/>
          <w:szCs w:val="32"/>
          <w:lang w:val="en-US" w:eastAsia="zh-CN"/>
        </w:rPr>
        <w:t>34</w:t>
      </w:r>
      <w:r>
        <w:rPr>
          <w:rFonts w:hint="eastAsia" w:ascii="楷体_GB2312" w:hAnsi="楷体_GB2312" w:eastAsia="楷体_GB2312" w:cs="楷体_GB2312"/>
          <w:color w:val="auto"/>
          <w:spacing w:val="0"/>
          <w:w w:val="100"/>
          <w:position w:val="0"/>
          <w:sz w:val="32"/>
          <w:szCs w:val="32"/>
        </w:rPr>
        <w:t>号</w:t>
      </w:r>
      <w:bookmarkEnd w:id="6"/>
      <w:r>
        <w:rPr>
          <w:rFonts w:hint="eastAsia" w:ascii="楷体_GB2312" w:hAnsi="楷体_GB2312" w:eastAsia="楷体_GB2312" w:cs="楷体_GB2312"/>
          <w:color w:val="auto"/>
          <w:spacing w:val="0"/>
          <w:w w:val="100"/>
          <w:position w:val="0"/>
          <w:sz w:val="32"/>
          <w:szCs w:val="32"/>
          <w:lang w:eastAsia="zh-CN"/>
        </w:rPr>
        <w:t>）</w:t>
      </w:r>
      <w:bookmarkEnd w:id="7"/>
    </w:p>
    <w:p>
      <w:pPr>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a.问题内容条款</w:t>
      </w:r>
    </w:p>
    <w:tbl>
      <w:tblPr>
        <w:tblStyle w:val="20"/>
        <w:tblW w:w="9043"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4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58" w:hRule="atLeast"/>
        </w:trPr>
        <w:tc>
          <w:tcPr>
            <w:tcW w:w="9043" w:type="dxa"/>
            <w:vAlign w:val="top"/>
          </w:tcPr>
          <w:p>
            <w:pPr>
              <w:pageBreakBefore w:val="0"/>
              <w:widowControl w:val="0"/>
              <w:kinsoku/>
              <w:wordWrap/>
              <w:overflowPunct/>
              <w:topLinePunct/>
              <w:autoSpaceDE/>
              <w:autoSpaceDN/>
              <w:bidi w:val="0"/>
              <w:adjustRightInd/>
              <w:snapToGrid/>
              <w:spacing w:line="540" w:lineRule="exact"/>
              <w:ind w:left="0" w:leftChars="0" w:right="0" w:firstLine="560" w:firstLineChars="200"/>
              <w:jc w:val="both"/>
              <w:textAlignment w:val="auto"/>
              <w:rPr>
                <w:rFonts w:hint="eastAsia" w:ascii="仿宋_GB2312" w:hAnsi="仿宋_GB2312" w:eastAsia="仿宋_GB2312" w:cs="仿宋_GB2312"/>
                <w:color w:val="auto"/>
                <w:spacing w:val="0"/>
                <w:w w:val="100"/>
                <w:position w:val="0"/>
                <w:sz w:val="28"/>
                <w:szCs w:val="28"/>
                <w:highlight w:val="none"/>
              </w:rPr>
            </w:pPr>
            <w:r>
              <w:rPr>
                <w:rFonts w:hint="eastAsia" w:ascii="仿宋_GB2312" w:hAnsi="仿宋_GB2312" w:eastAsia="仿宋_GB2312" w:cs="仿宋_GB2312"/>
                <w:color w:val="auto"/>
                <w:spacing w:val="0"/>
                <w:w w:val="100"/>
                <w:position w:val="0"/>
                <w:sz w:val="28"/>
                <w:szCs w:val="28"/>
                <w:highlight w:val="none"/>
              </w:rPr>
              <w:t>文件第</w:t>
            </w:r>
            <w:r>
              <w:rPr>
                <w:rFonts w:hint="eastAsia" w:ascii="仿宋_GB2312" w:hAnsi="仿宋_GB2312" w:eastAsia="仿宋_GB2312" w:cs="仿宋_GB2312"/>
                <w:color w:val="auto"/>
                <w:spacing w:val="0"/>
                <w:w w:val="100"/>
                <w:position w:val="0"/>
                <w:sz w:val="28"/>
                <w:szCs w:val="28"/>
                <w:highlight w:val="none"/>
                <w:lang w:val="en-US" w:eastAsia="zh-CN"/>
              </w:rPr>
              <w:t>3</w:t>
            </w:r>
            <w:r>
              <w:rPr>
                <w:rFonts w:hint="eastAsia" w:ascii="仿宋_GB2312" w:hAnsi="仿宋_GB2312" w:eastAsia="仿宋_GB2312" w:cs="仿宋_GB2312"/>
                <w:color w:val="auto"/>
                <w:spacing w:val="0"/>
                <w:w w:val="100"/>
                <w:position w:val="0"/>
                <w:sz w:val="28"/>
                <w:szCs w:val="28"/>
                <w:highlight w:val="none"/>
              </w:rPr>
              <w:t>页</w:t>
            </w:r>
          </w:p>
          <w:p>
            <w:pPr>
              <w:pStyle w:val="22"/>
              <w:keepNext w:val="0"/>
              <w:keepLines w:val="0"/>
              <w:pageBreakBefore w:val="0"/>
              <w:widowControl w:val="0"/>
              <w:numPr>
                <w:ilvl w:val="0"/>
                <w:numId w:val="1"/>
              </w:numPr>
              <w:suppressLineNumbers w:val="0"/>
              <w:kinsoku/>
              <w:wordWrap/>
              <w:overflowPunct/>
              <w:topLinePunct/>
              <w:autoSpaceDE/>
              <w:autoSpaceDN/>
              <w:bidi w:val="0"/>
              <w:adjustRightInd/>
              <w:snapToGrid/>
              <w:spacing w:before="0" w:beforeAutospacing="0" w:after="0" w:afterAutospacing="0" w:line="540" w:lineRule="exact"/>
              <w:ind w:left="0" w:leftChars="0" w:right="0" w:rightChars="0" w:firstLine="560" w:firstLineChars="200"/>
              <w:jc w:val="both"/>
              <w:textAlignment w:val="auto"/>
              <w:rPr>
                <w:rFonts w:hint="eastAsia" w:ascii="仿宋_GB2312" w:hAnsi="仿宋_GB2312" w:eastAsia="仿宋_GB2312" w:cs="仿宋_GB2312"/>
                <w:b w:val="0"/>
                <w:bCs w:val="0"/>
                <w:i w:val="0"/>
                <w:iCs w:val="0"/>
                <w:color w:val="auto"/>
                <w:spacing w:val="0"/>
                <w:w w:val="100"/>
                <w:position w:val="0"/>
                <w:sz w:val="28"/>
                <w:szCs w:val="28"/>
                <w:highlight w:val="none"/>
              </w:rPr>
            </w:pPr>
            <w:r>
              <w:rPr>
                <w:rFonts w:hint="eastAsia" w:ascii="仿宋_GB2312" w:hAnsi="仿宋_GB2312" w:eastAsia="仿宋_GB2312" w:cs="仿宋_GB2312"/>
                <w:b w:val="0"/>
                <w:bCs w:val="0"/>
                <w:i w:val="0"/>
                <w:iCs w:val="0"/>
                <w:color w:val="auto"/>
                <w:spacing w:val="0"/>
                <w:w w:val="100"/>
                <w:position w:val="0"/>
                <w:sz w:val="28"/>
                <w:szCs w:val="28"/>
                <w:highlight w:val="none"/>
              </w:rPr>
              <w:t>投资在5000万元的项目，每亩产值达200万元，每亩税收达16万元，在经开区履行纳税义务，无违法违规行为的新引进工业企业，经开区将以企业投资当年</w:t>
            </w:r>
            <w:r>
              <w:rPr>
                <w:rFonts w:hint="eastAsia" w:ascii="仿宋_GB2312" w:hAnsi="仿宋_GB2312" w:eastAsia="仿宋_GB2312" w:cs="仿宋_GB2312"/>
                <w:b w:val="0"/>
                <w:bCs w:val="0"/>
                <w:i w:val="0"/>
                <w:iCs w:val="0"/>
                <w:color w:val="auto"/>
                <w:spacing w:val="0"/>
                <w:w w:val="100"/>
                <w:position w:val="0"/>
                <w:sz w:val="28"/>
                <w:szCs w:val="28"/>
                <w:highlight w:val="none"/>
                <w:u w:val="single"/>
              </w:rPr>
              <w:t>实际缴纳企业增值税、企业所得税税收为基数进行税收奖励</w:t>
            </w:r>
            <w:r>
              <w:rPr>
                <w:rFonts w:hint="eastAsia" w:ascii="仿宋_GB2312" w:hAnsi="仿宋_GB2312" w:eastAsia="仿宋_GB2312" w:cs="仿宋_GB2312"/>
                <w:b w:val="0"/>
                <w:bCs w:val="0"/>
                <w:i w:val="0"/>
                <w:iCs w:val="0"/>
                <w:color w:val="auto"/>
                <w:spacing w:val="0"/>
                <w:w w:val="100"/>
                <w:position w:val="0"/>
                <w:sz w:val="28"/>
                <w:szCs w:val="28"/>
                <w:highlight w:val="none"/>
              </w:rPr>
              <w:t>。第一、二、三年按新增增值税、企业所得税税收经开区地方留成部分的100%给予奖励，第四、五年</w:t>
            </w:r>
            <w:r>
              <w:rPr>
                <w:rFonts w:hint="eastAsia" w:ascii="仿宋_GB2312" w:hAnsi="仿宋_GB2312" w:eastAsia="仿宋_GB2312" w:cs="仿宋_GB2312"/>
                <w:b w:val="0"/>
                <w:bCs w:val="0"/>
                <w:i w:val="0"/>
                <w:iCs w:val="0"/>
                <w:color w:val="auto"/>
                <w:spacing w:val="0"/>
                <w:w w:val="100"/>
                <w:position w:val="0"/>
                <w:sz w:val="28"/>
                <w:szCs w:val="28"/>
                <w:highlight w:val="none"/>
                <w:u w:val="single"/>
              </w:rPr>
              <w:t>按新增企业增值税、企业所得税税收经开区地方留成部分的50%给予奖励，</w:t>
            </w:r>
            <w:r>
              <w:rPr>
                <w:rFonts w:hint="eastAsia" w:ascii="仿宋_GB2312" w:hAnsi="仿宋_GB2312" w:eastAsia="仿宋_GB2312" w:cs="仿宋_GB2312"/>
                <w:b w:val="0"/>
                <w:bCs w:val="0"/>
                <w:i w:val="0"/>
                <w:iCs w:val="0"/>
                <w:color w:val="auto"/>
                <w:spacing w:val="0"/>
                <w:w w:val="100"/>
                <w:position w:val="0"/>
                <w:sz w:val="28"/>
                <w:szCs w:val="28"/>
                <w:highlight w:val="none"/>
              </w:rPr>
              <w:t>用于企业增加研发投入和投资再生产等。</w:t>
            </w:r>
          </w:p>
          <w:p>
            <w:pPr>
              <w:pStyle w:val="14"/>
              <w:keepNext w:val="0"/>
              <w:keepLines w:val="0"/>
              <w:pageBreakBefore w:val="0"/>
              <w:widowControl w:val="0"/>
              <w:numPr>
                <w:ilvl w:val="0"/>
                <w:numId w:val="0"/>
              </w:numPr>
              <w:suppressLineNumbers w:val="0"/>
              <w:kinsoku/>
              <w:wordWrap/>
              <w:overflowPunct/>
              <w:topLinePunct/>
              <w:autoSpaceDE/>
              <w:autoSpaceDN/>
              <w:bidi w:val="0"/>
              <w:adjustRightInd/>
              <w:snapToGrid/>
              <w:spacing w:before="0" w:beforeAutospacing="0" w:after="0" w:afterAutospacing="0" w:line="540" w:lineRule="exact"/>
              <w:ind w:left="0" w:leftChars="0" w:right="0" w:rightChars="0" w:firstLine="560" w:firstLineChars="200"/>
              <w:jc w:val="both"/>
              <w:textAlignment w:val="auto"/>
              <w:rPr>
                <w:rFonts w:hint="eastAsia" w:ascii="仿宋_GB2312" w:hAnsi="仿宋_GB2312" w:eastAsia="仿宋_GB2312" w:cs="仿宋_GB2312"/>
                <w:color w:val="auto"/>
                <w:spacing w:val="0"/>
                <w:w w:val="100"/>
                <w:position w:val="0"/>
                <w:sz w:val="28"/>
                <w:szCs w:val="28"/>
              </w:rPr>
            </w:pPr>
            <w:r>
              <w:rPr>
                <w:rFonts w:hint="eastAsia" w:ascii="仿宋_GB2312" w:hAnsi="仿宋_GB2312" w:eastAsia="仿宋_GB2312" w:cs="仿宋_GB2312"/>
                <w:b w:val="0"/>
                <w:bCs w:val="0"/>
                <w:i w:val="0"/>
                <w:iCs w:val="0"/>
                <w:color w:val="auto"/>
                <w:spacing w:val="0"/>
                <w:w w:val="100"/>
                <w:kern w:val="0"/>
                <w:position w:val="0"/>
                <w:sz w:val="28"/>
                <w:szCs w:val="28"/>
                <w:lang w:val="en-US" w:eastAsia="zh-CN" w:bidi="ar"/>
              </w:rPr>
              <w:t>等等……</w:t>
            </w:r>
          </w:p>
        </w:tc>
      </w:tr>
    </w:tbl>
    <w:p>
      <w:pPr>
        <w:pageBreakBefore w:val="0"/>
        <w:widowControl w:val="0"/>
        <w:kinsoku/>
        <w:wordWrap/>
        <w:overflowPunct/>
        <w:topLinePunct/>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b.剖析论证</w:t>
      </w:r>
    </w:p>
    <w:p>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文件</w:t>
      </w:r>
      <w:r>
        <w:rPr>
          <w:rFonts w:hint="eastAsia" w:ascii="仿宋_GB2312" w:hAnsi="仿宋_GB2312" w:eastAsia="仿宋_GB2312" w:cs="仿宋_GB2312"/>
          <w:color w:val="auto"/>
          <w:spacing w:val="0"/>
          <w:w w:val="100"/>
          <w:position w:val="0"/>
          <w:sz w:val="32"/>
          <w:szCs w:val="32"/>
          <w:lang w:eastAsia="zh-CN"/>
        </w:rPr>
        <w:t>内容</w:t>
      </w:r>
      <w:r>
        <w:rPr>
          <w:rFonts w:hint="eastAsia" w:ascii="仿宋_GB2312" w:hAnsi="仿宋_GB2312" w:eastAsia="仿宋_GB2312" w:cs="仿宋_GB2312"/>
          <w:color w:val="auto"/>
          <w:spacing w:val="0"/>
          <w:w w:val="100"/>
          <w:position w:val="0"/>
          <w:sz w:val="32"/>
          <w:szCs w:val="32"/>
        </w:rPr>
        <w:t>违反公平竞争审查细则第十</w:t>
      </w:r>
      <w:r>
        <w:rPr>
          <w:rFonts w:hint="eastAsia" w:ascii="仿宋_GB2312" w:hAnsi="仿宋_GB2312" w:eastAsia="仿宋_GB2312" w:cs="仿宋_GB2312"/>
          <w:color w:val="auto"/>
          <w:spacing w:val="0"/>
          <w:w w:val="100"/>
          <w:position w:val="0"/>
          <w:sz w:val="32"/>
          <w:szCs w:val="32"/>
          <w:lang w:eastAsia="zh-CN"/>
        </w:rPr>
        <w:t>五</w:t>
      </w:r>
      <w:r>
        <w:rPr>
          <w:rFonts w:hint="eastAsia" w:ascii="仿宋_GB2312" w:hAnsi="仿宋_GB2312" w:eastAsia="仿宋_GB2312" w:cs="仿宋_GB2312"/>
          <w:color w:val="auto"/>
          <w:spacing w:val="0"/>
          <w:w w:val="100"/>
          <w:position w:val="0"/>
          <w:sz w:val="32"/>
          <w:szCs w:val="32"/>
        </w:rPr>
        <w:t>条“影响生产经营</w:t>
      </w:r>
      <w:r>
        <w:rPr>
          <w:rFonts w:hint="eastAsia" w:ascii="仿宋_GB2312" w:hAnsi="仿宋_GB2312" w:eastAsia="仿宋_GB2312" w:cs="仿宋_GB2312"/>
          <w:color w:val="auto"/>
          <w:spacing w:val="0"/>
          <w:w w:val="100"/>
          <w:position w:val="0"/>
          <w:sz w:val="32"/>
          <w:szCs w:val="32"/>
          <w:lang w:eastAsia="zh-CN"/>
        </w:rPr>
        <w:t>成本</w:t>
      </w:r>
      <w:r>
        <w:rPr>
          <w:rFonts w:hint="eastAsia" w:ascii="仿宋_GB2312" w:hAnsi="仿宋_GB2312" w:eastAsia="仿宋_GB2312" w:cs="仿宋_GB2312"/>
          <w:color w:val="auto"/>
          <w:spacing w:val="0"/>
          <w:w w:val="100"/>
          <w:position w:val="0"/>
          <w:sz w:val="32"/>
          <w:szCs w:val="32"/>
        </w:rPr>
        <w:t>标准”</w:t>
      </w:r>
    </w:p>
    <w:p>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outlineLvl w:val="1"/>
        <w:rPr>
          <w:rFonts w:hint="eastAsia" w:ascii="仿宋_GB2312" w:hAnsi="仿宋_GB2312" w:eastAsia="仿宋_GB2312" w:cs="仿宋_GB2312"/>
          <w:i w:val="0"/>
          <w:iCs w:val="0"/>
          <w:caps w:val="0"/>
          <w:color w:val="auto"/>
          <w:spacing w:val="0"/>
          <w:w w:val="100"/>
          <w:position w:val="0"/>
          <w:sz w:val="32"/>
          <w:szCs w:val="32"/>
        </w:rPr>
      </w:pPr>
      <w:bookmarkStart w:id="8" w:name="_Toc2228"/>
      <w:bookmarkStart w:id="9" w:name="_Toc30427"/>
      <w:r>
        <w:rPr>
          <w:rFonts w:hint="eastAsia" w:ascii="仿宋_GB2312" w:hAnsi="仿宋_GB2312" w:eastAsia="仿宋_GB2312" w:cs="仿宋_GB2312"/>
          <w:i w:val="0"/>
          <w:iCs w:val="0"/>
          <w:caps w:val="0"/>
          <w:color w:val="auto"/>
          <w:spacing w:val="0"/>
          <w:w w:val="100"/>
          <w:position w:val="0"/>
          <w:sz w:val="32"/>
          <w:szCs w:val="32"/>
          <w:shd w:val="clear" w:fill="FFFFFF"/>
        </w:rPr>
        <w:t>（一）不得违法给予特定经营者优惠政策，包括但不限于：</w:t>
      </w:r>
      <w:bookmarkEnd w:id="8"/>
      <w:bookmarkEnd w:id="9"/>
    </w:p>
    <w:p>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i w:val="0"/>
          <w:iCs w:val="0"/>
          <w:caps w:val="0"/>
          <w:color w:val="auto"/>
          <w:spacing w:val="0"/>
          <w:w w:val="100"/>
          <w:position w:val="0"/>
          <w:sz w:val="32"/>
          <w:szCs w:val="32"/>
        </w:rPr>
      </w:pPr>
      <w:r>
        <w:rPr>
          <w:rFonts w:hint="eastAsia" w:ascii="仿宋_GB2312" w:hAnsi="仿宋_GB2312" w:eastAsia="仿宋_GB2312" w:cs="仿宋_GB2312"/>
          <w:i w:val="0"/>
          <w:iCs w:val="0"/>
          <w:caps w:val="0"/>
          <w:color w:val="auto"/>
          <w:spacing w:val="0"/>
          <w:w w:val="100"/>
          <w:position w:val="0"/>
          <w:sz w:val="32"/>
          <w:szCs w:val="32"/>
          <w:shd w:val="clear" w:fill="FFFFFF"/>
        </w:rPr>
        <w:t>1.没有法律、行政法规或者国务院规定依据，给予特定经营者财政奖励和补贴；</w:t>
      </w:r>
    </w:p>
    <w:p>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position w:val="0"/>
          <w:sz w:val="32"/>
          <w:szCs w:val="32"/>
          <w:lang w:eastAsia="zh-CN"/>
        </w:rPr>
      </w:pPr>
      <w:r>
        <w:rPr>
          <w:rFonts w:hint="eastAsia" w:ascii="仿宋_GB2312" w:hAnsi="仿宋_GB2312" w:eastAsia="仿宋_GB2312" w:cs="仿宋_GB2312"/>
          <w:color w:val="auto"/>
          <w:spacing w:val="0"/>
          <w:w w:val="100"/>
          <w:position w:val="0"/>
          <w:sz w:val="32"/>
          <w:szCs w:val="32"/>
          <w:lang w:eastAsia="zh-CN"/>
        </w:rPr>
        <w:t>（二）</w:t>
      </w:r>
      <w:r>
        <w:rPr>
          <w:rFonts w:hint="eastAsia" w:ascii="仿宋_GB2312" w:hAnsi="仿宋_GB2312" w:eastAsia="仿宋_GB2312" w:cs="仿宋_GB2312"/>
          <w:color w:val="auto"/>
          <w:spacing w:val="0"/>
          <w:w w:val="100"/>
          <w:position w:val="0"/>
          <w:sz w:val="32"/>
          <w:szCs w:val="32"/>
        </w:rPr>
        <w:t>“</w:t>
      </w:r>
      <w:r>
        <w:rPr>
          <w:rFonts w:hint="eastAsia" w:ascii="仿宋_GB2312" w:hAnsi="仿宋_GB2312" w:eastAsia="仿宋_GB2312" w:cs="仿宋_GB2312"/>
          <w:i w:val="0"/>
          <w:iCs w:val="0"/>
          <w:caps w:val="0"/>
          <w:color w:val="auto"/>
          <w:spacing w:val="0"/>
          <w:w w:val="100"/>
          <w:position w:val="0"/>
          <w:sz w:val="32"/>
          <w:szCs w:val="32"/>
          <w:shd w:val="clear" w:fill="FFFFFF"/>
        </w:rPr>
        <w:t>安排财政支出一般不得与特定经营者缴纳的税收或非税收入挂钩，主要指根据特定经营者缴纳的税收或者非税收入情况，采取列收列支或者违法违规采取先征后返、即征即退等形式，对特定经营者进行返还，或者给予特定经营者财政奖励或补贴、减免土地等自然资源有偿使用收入等优惠政策</w:t>
      </w:r>
      <w:r>
        <w:rPr>
          <w:rFonts w:hint="eastAsia" w:ascii="仿宋_GB2312" w:hAnsi="仿宋_GB2312" w:eastAsia="仿宋_GB2312" w:cs="仿宋_GB2312"/>
          <w:color w:val="auto"/>
          <w:spacing w:val="0"/>
          <w:w w:val="100"/>
          <w:position w:val="0"/>
          <w:sz w:val="32"/>
          <w:szCs w:val="32"/>
        </w:rPr>
        <w:t>”的规定</w:t>
      </w:r>
      <w:r>
        <w:rPr>
          <w:rFonts w:hint="eastAsia" w:ascii="仿宋_GB2312" w:hAnsi="仿宋_GB2312" w:eastAsia="仿宋_GB2312" w:cs="仿宋_GB2312"/>
          <w:color w:val="auto"/>
          <w:spacing w:val="0"/>
          <w:w w:val="100"/>
          <w:position w:val="0"/>
          <w:sz w:val="32"/>
          <w:szCs w:val="32"/>
          <w:lang w:eastAsia="zh-CN"/>
        </w:rPr>
        <w:t>。</w:t>
      </w: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10" w:name="_Toc10690"/>
      <w:r>
        <w:rPr>
          <w:rFonts w:hint="eastAsia" w:ascii="黑体" w:hAnsi="黑体" w:eastAsia="黑体" w:cs="黑体"/>
          <w:b w:val="0"/>
          <w:bCs/>
          <w:color w:val="auto"/>
          <w:spacing w:val="0"/>
          <w:kern w:val="2"/>
          <w:position w:val="0"/>
          <w:sz w:val="32"/>
          <w:szCs w:val="32"/>
          <w:lang w:val="en-US" w:eastAsia="zh-CN" w:bidi="ar"/>
        </w:rPr>
        <w:t>三、评估结果</w:t>
      </w:r>
      <w:bookmarkEnd w:id="10"/>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rPr>
        <w:t>根据《甘肃省市场监管局等四部门关于进一步推进落实公平竞争审查工作的通知》（甘市监发〔2020〕291号）及《</w:t>
      </w:r>
      <w:r>
        <w:rPr>
          <w:rFonts w:hint="eastAsia" w:ascii="仿宋_GB2312" w:hAnsi="仿宋_GB2312" w:eastAsia="仿宋_GB2312" w:cs="仿宋_GB2312"/>
          <w:bCs w:val="0"/>
          <w:color w:val="auto"/>
          <w:spacing w:val="0"/>
          <w:w w:val="100"/>
          <w:position w:val="0"/>
          <w:sz w:val="32"/>
          <w:szCs w:val="32"/>
          <w:lang w:val="en-US" w:eastAsia="zh-CN"/>
        </w:rPr>
        <w:t>张掖市公平竞争审查工作部门联席会议办公室关于开展公平竞争审查工作第三方评估的通知</w:t>
      </w:r>
      <w:r>
        <w:rPr>
          <w:rFonts w:hint="eastAsia" w:ascii="仿宋_GB2312" w:hAnsi="仿宋_GB2312" w:eastAsia="仿宋_GB2312" w:cs="仿宋_GB2312"/>
          <w:bCs w:val="0"/>
          <w:color w:val="auto"/>
          <w:spacing w:val="0"/>
          <w:w w:val="100"/>
          <w:position w:val="0"/>
          <w:sz w:val="32"/>
          <w:szCs w:val="32"/>
        </w:rPr>
        <w:t>》（</w:t>
      </w:r>
      <w:r>
        <w:rPr>
          <w:rFonts w:hint="eastAsia" w:ascii="仿宋_GB2312" w:hAnsi="仿宋_GB2312" w:eastAsia="仿宋_GB2312" w:cs="仿宋_GB2312"/>
          <w:bCs w:val="0"/>
          <w:color w:val="auto"/>
          <w:spacing w:val="0"/>
          <w:w w:val="100"/>
          <w:position w:val="0"/>
          <w:sz w:val="32"/>
          <w:szCs w:val="32"/>
          <w:lang w:val="en-US" w:eastAsia="zh-CN"/>
        </w:rPr>
        <w:t>张公竞</w:t>
      </w:r>
      <w:r>
        <w:rPr>
          <w:rFonts w:hint="eastAsia" w:ascii="仿宋_GB2312" w:hAnsi="仿宋_GB2312" w:eastAsia="仿宋_GB2312" w:cs="仿宋_GB2312"/>
          <w:bCs w:val="0"/>
          <w:color w:val="auto"/>
          <w:spacing w:val="0"/>
          <w:w w:val="100"/>
          <w:position w:val="0"/>
          <w:sz w:val="32"/>
          <w:szCs w:val="32"/>
        </w:rPr>
        <w:t>〔202</w:t>
      </w:r>
      <w:r>
        <w:rPr>
          <w:rFonts w:hint="eastAsia" w:ascii="仿宋_GB2312" w:hAnsi="仿宋_GB2312" w:eastAsia="仿宋_GB2312" w:cs="仿宋_GB2312"/>
          <w:bCs w:val="0"/>
          <w:color w:val="auto"/>
          <w:spacing w:val="0"/>
          <w:w w:val="100"/>
          <w:position w:val="0"/>
          <w:sz w:val="32"/>
          <w:szCs w:val="32"/>
          <w:lang w:val="en-US" w:eastAsia="zh-CN"/>
        </w:rPr>
        <w:t>2</w:t>
      </w:r>
      <w:r>
        <w:rPr>
          <w:rFonts w:hint="eastAsia" w:ascii="仿宋_GB2312" w:hAnsi="仿宋_GB2312" w:eastAsia="仿宋_GB2312" w:cs="仿宋_GB2312"/>
          <w:bCs w:val="0"/>
          <w:color w:val="auto"/>
          <w:spacing w:val="0"/>
          <w:w w:val="100"/>
          <w:position w:val="0"/>
          <w:sz w:val="32"/>
          <w:szCs w:val="32"/>
        </w:rPr>
        <w:t>〕</w:t>
      </w:r>
      <w:r>
        <w:rPr>
          <w:rFonts w:hint="eastAsia" w:ascii="仿宋_GB2312" w:hAnsi="仿宋_GB2312" w:eastAsia="仿宋_GB2312" w:cs="仿宋_GB2312"/>
          <w:bCs w:val="0"/>
          <w:color w:val="auto"/>
          <w:spacing w:val="0"/>
          <w:w w:val="100"/>
          <w:position w:val="0"/>
          <w:sz w:val="32"/>
          <w:szCs w:val="32"/>
          <w:lang w:val="en-US" w:eastAsia="zh-CN"/>
        </w:rPr>
        <w:t>10</w:t>
      </w:r>
      <w:r>
        <w:rPr>
          <w:rFonts w:hint="eastAsia" w:ascii="仿宋_GB2312" w:hAnsi="仿宋_GB2312" w:eastAsia="仿宋_GB2312" w:cs="仿宋_GB2312"/>
          <w:bCs w:val="0"/>
          <w:color w:val="auto"/>
          <w:spacing w:val="0"/>
          <w:w w:val="100"/>
          <w:position w:val="0"/>
          <w:sz w:val="32"/>
          <w:szCs w:val="32"/>
        </w:rPr>
        <w:t>号</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rPr>
        <w:t>文件要求</w:t>
      </w:r>
      <w:r>
        <w:rPr>
          <w:rFonts w:hint="eastAsia" w:ascii="仿宋_GB2312" w:hAnsi="仿宋_GB2312" w:eastAsia="仿宋_GB2312" w:cs="仿宋_GB2312"/>
          <w:bCs w:val="0"/>
          <w:color w:val="auto"/>
          <w:spacing w:val="0"/>
          <w:w w:val="100"/>
          <w:position w:val="0"/>
          <w:sz w:val="32"/>
          <w:szCs w:val="32"/>
          <w:lang w:eastAsia="zh-CN"/>
        </w:rPr>
        <w:t>，</w:t>
      </w:r>
      <w:r>
        <w:rPr>
          <w:rFonts w:hint="eastAsia" w:ascii="仿宋_GB2312" w:hAnsi="仿宋_GB2312" w:eastAsia="仿宋_GB2312" w:cs="仿宋_GB2312"/>
          <w:bCs w:val="0"/>
          <w:color w:val="auto"/>
          <w:spacing w:val="0"/>
          <w:w w:val="100"/>
          <w:position w:val="0"/>
          <w:sz w:val="32"/>
          <w:szCs w:val="32"/>
          <w:lang w:val="en-US" w:eastAsia="zh-CN"/>
        </w:rPr>
        <w:t>张掖市经济技术开发区</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1" w:name="_Toc9063"/>
      <w:bookmarkStart w:id="12" w:name="_Toc3975"/>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11"/>
      <w:bookmarkEnd w:id="12"/>
    </w:p>
    <w:p>
      <w:pPr>
        <w:keepNext w:val="0"/>
        <w:keepLines w:val="0"/>
        <w:pageBreakBefore w:val="0"/>
        <w:widowControl w:val="0"/>
        <w:suppressLineNumbers w:val="0"/>
        <w:kinsoku/>
        <w:wordWrap/>
        <w:overflowPunct/>
        <w:autoSpaceDE w:val="0"/>
        <w:autoSpaceDN/>
        <w:bidi w:val="0"/>
        <w:adjustRightInd/>
        <w:snapToGrid/>
        <w:spacing w:before="0" w:beforeAutospacing="0" w:after="0" w:afterAutospacing="0" w:line="560" w:lineRule="exact"/>
        <w:ind w:left="0" w:leftChars="0" w:right="0" w:rightChars="0" w:firstLine="0" w:firstLineChars="0"/>
        <w:jc w:val="center"/>
        <w:textAlignment w:val="auto"/>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6"/>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482" w:firstLineChars="200"/>
              <w:jc w:val="center"/>
              <w:textAlignment w:val="auto"/>
              <w:rPr>
                <w:rFonts w:hint="eastAsia" w:ascii="仿宋_GB2312" w:hAnsi="仿宋_GB2312" w:eastAsia="仿宋_GB2312" w:cs="仿宋_GB2312"/>
                <w:b/>
                <w:bCs/>
                <w:color w:val="auto"/>
                <w:spacing w:val="0"/>
                <w:w w:val="100"/>
                <w:kern w:val="2"/>
                <w:position w:val="0"/>
                <w:sz w:val="24"/>
                <w:szCs w:val="24"/>
              </w:rPr>
            </w:pPr>
            <w:r>
              <w:rPr>
                <w:rFonts w:hint="eastAsia" w:ascii="仿宋_GB2312" w:hAnsi="仿宋_GB2312" w:eastAsia="仿宋_GB2312" w:cs="仿宋_GB2312"/>
                <w:b/>
                <w:bCs/>
                <w:color w:val="auto"/>
                <w:spacing w:val="0"/>
                <w:w w:val="100"/>
                <w:kern w:val="2"/>
                <w:position w:val="0"/>
                <w:sz w:val="24"/>
                <w:szCs w:val="24"/>
                <w:lang w:val="en-US" w:eastAsia="zh-CN" w:bidi="ar"/>
              </w:rPr>
              <w:t>张掖市经济技术开发区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有报批文件、通知文件、审批流程文件或已建立的公平竞争审查制度、方案。</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有相关文件、资料。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根据公平竞争审查工作定期开展情况为依据进行判断（如是否形成自查报告等）。</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根据面向社会公众、企业主体介绍公平竞争审查制度情况、有组织针对性的宣传（如宣传资料、活动照片、公众号等判定）。</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根据开展公平竞争审查专题培训情况进行判断，有组织针对性的学习和培训（如培训照片、签到表、会议记录等资料）。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政策措施审查清理情况（40分）</w:t>
            </w: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以被评估单位审查记录为准，未形成书面审查结论出台政策措施的，视为未进行公平竞争审查。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是否形成书面审查报告（5分）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对妨碍公平竞争的政策措施已全部进行整改、废止的得满分。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81</w:t>
            </w:r>
          </w:p>
        </w:tc>
      </w:tr>
    </w:tbl>
    <w:p>
      <w:pPr>
        <w:keepNext w:val="0"/>
        <w:keepLines w:val="0"/>
        <w:pageBreakBefore w:val="0"/>
        <w:widowControl w:val="0"/>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楷体_GB2312" w:hAnsi="楷体_GB2312" w:eastAsia="楷体_GB2312" w:cs="楷体_GB2312"/>
          <w:color w:val="auto"/>
          <w:spacing w:val="0"/>
          <w:w w:val="100"/>
          <w:position w:val="0"/>
          <w:sz w:val="32"/>
          <w:szCs w:val="32"/>
        </w:rPr>
      </w:pPr>
      <w:bookmarkStart w:id="13" w:name="_Toc27135"/>
      <w:r>
        <w:rPr>
          <w:rFonts w:hint="eastAsia" w:ascii="楷体_GB2312" w:hAnsi="楷体_GB2312" w:eastAsia="楷体_GB2312" w:cs="楷体_GB2312"/>
          <w:color w:val="auto"/>
          <w:spacing w:val="0"/>
          <w:w w:val="100"/>
          <w:kern w:val="0"/>
          <w:position w:val="0"/>
          <w:sz w:val="32"/>
          <w:szCs w:val="32"/>
          <w:lang w:val="en-US" w:eastAsia="zh-CN" w:bidi="ar"/>
        </w:rPr>
        <w:t>（一）政策措施抽样评估得分</w:t>
      </w:r>
      <w:bookmarkEnd w:id="13"/>
    </w:p>
    <w:p>
      <w:pPr>
        <w:keepNext w:val="0"/>
        <w:keepLines w:val="0"/>
        <w:pageBreakBefore w:val="0"/>
        <w:widowControl w:val="0"/>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kern w:val="0"/>
          <w:position w:val="0"/>
          <w:sz w:val="32"/>
          <w:szCs w:val="32"/>
          <w:lang w:val="en-US" w:eastAsia="zh-CN" w:bidi="ar"/>
        </w:rPr>
        <w:t>按照</w:t>
      </w:r>
      <w:r>
        <w:rPr>
          <w:rFonts w:hint="eastAsia" w:ascii="仿宋_GB2312" w:hAnsi="仿宋_GB2312" w:eastAsia="仿宋_GB2312" w:cs="仿宋_GB2312"/>
          <w:color w:val="auto"/>
          <w:spacing w:val="0"/>
          <w:w w:val="100"/>
          <w:kern w:val="0"/>
          <w:position w:val="0"/>
          <w:sz w:val="32"/>
          <w:szCs w:val="32"/>
          <w:highlight w:val="none"/>
          <w:lang w:val="en-US" w:eastAsia="zh-CN" w:bidi="ar"/>
        </w:rPr>
        <w:t>《张掖市公平竞争审查工作第三方评估执行手册》</w:t>
      </w:r>
      <w:r>
        <w:rPr>
          <w:rFonts w:hint="eastAsia" w:ascii="仿宋_GB2312" w:hAnsi="仿宋_GB2312" w:eastAsia="仿宋_GB2312" w:cs="仿宋_GB2312"/>
          <w:color w:val="auto"/>
          <w:spacing w:val="0"/>
          <w:w w:val="100"/>
          <w:kern w:val="0"/>
          <w:position w:val="0"/>
          <w:sz w:val="32"/>
          <w:szCs w:val="32"/>
          <w:lang w:val="en-US" w:eastAsia="zh-CN" w:bidi="ar"/>
        </w:rPr>
        <w:t>中评估指标量化打分，张掖市经济技术开发区在政策措施抽样评估方面具体得分如表2所示：</w:t>
      </w:r>
    </w:p>
    <w:p>
      <w:pPr>
        <w:keepNext w:val="0"/>
        <w:keepLines w:val="0"/>
        <w:pageBreakBefore w:val="0"/>
        <w:widowControl w:val="0"/>
        <w:suppressLineNumbers w:val="0"/>
        <w:kinsoku/>
        <w:wordWrap/>
        <w:overflowPunct/>
        <w:autoSpaceDE w:val="0"/>
        <w:autoSpaceDN/>
        <w:bidi w:val="0"/>
        <w:adjustRightInd/>
        <w:snapToGrid/>
        <w:spacing w:before="0" w:beforeAutospacing="0" w:after="0" w:afterAutospacing="0" w:line="560" w:lineRule="exact"/>
        <w:ind w:left="0" w:leftChars="0" w:right="0" w:rightChars="0" w:firstLine="0" w:firstLineChars="0"/>
        <w:jc w:val="center"/>
        <w:textAlignment w:val="auto"/>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表2政策措施评估结果统计表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项目</w:t>
            </w:r>
          </w:p>
        </w:tc>
        <w:tc>
          <w:tcPr>
            <w:tcW w:w="30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差错率（%）</w:t>
            </w:r>
          </w:p>
        </w:tc>
        <w:tc>
          <w:tcPr>
            <w:tcW w:w="7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w:t>
            </w:r>
          </w:p>
        </w:tc>
        <w:tc>
          <w:tcPr>
            <w:tcW w:w="30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279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96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16.67%</w:t>
            </w:r>
          </w:p>
        </w:tc>
        <w:tc>
          <w:tcPr>
            <w:tcW w:w="7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r>
    </w:tbl>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lang w:val="en-US" w:eastAsia="zh-CN"/>
        </w:rPr>
        <w:t>评分标准及计算方案见表3：</w:t>
      </w:r>
    </w:p>
    <w:p>
      <w:pPr>
        <w:pStyle w:val="2"/>
        <w:rPr>
          <w:rFonts w:hint="eastAsia"/>
          <w:lang w:val="en-US" w:eastAsia="zh-CN"/>
        </w:rPr>
      </w:pPr>
    </w:p>
    <w:p>
      <w:pPr>
        <w:keepNext w:val="0"/>
        <w:keepLines w:val="0"/>
        <w:pageBreakBefore w:val="0"/>
        <w:widowControl w:val="0"/>
        <w:suppressLineNumbers w:val="0"/>
        <w:kinsoku/>
        <w:wordWrap/>
        <w:overflowPunct/>
        <w:autoSpaceDE w:val="0"/>
        <w:autoSpaceDN/>
        <w:bidi w:val="0"/>
        <w:adjustRightInd/>
        <w:snapToGrid/>
        <w:spacing w:before="0" w:beforeAutospacing="0" w:after="0" w:afterAutospacing="0" w:line="560" w:lineRule="exact"/>
        <w:ind w:left="0" w:leftChars="0" w:right="0" w:rightChars="0" w:firstLine="0" w:firstLineChars="0"/>
        <w:jc w:val="center"/>
        <w:textAlignment w:val="auto"/>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表3政策措施评估标准及计算方法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828"/>
        <w:gridCol w:w="1608"/>
        <w:gridCol w:w="1524"/>
        <w:gridCol w:w="1680"/>
        <w:gridCol w:w="1144"/>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评估内容</w:t>
            </w:r>
          </w:p>
        </w:tc>
        <w:tc>
          <w:tcPr>
            <w:tcW w:w="6784" w:type="dxa"/>
            <w:gridSpan w:val="5"/>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评估标准</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政策措施差错率</w:t>
            </w:r>
          </w:p>
        </w:tc>
        <w:tc>
          <w:tcPr>
            <w:tcW w:w="82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160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（0%，10%）</w:t>
            </w:r>
          </w:p>
        </w:tc>
        <w:tc>
          <w:tcPr>
            <w:tcW w:w="152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（10%，20%）</w:t>
            </w:r>
          </w:p>
        </w:tc>
        <w:tc>
          <w:tcPr>
            <w:tcW w:w="168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（20%，40%）</w:t>
            </w:r>
          </w:p>
        </w:tc>
        <w:tc>
          <w:tcPr>
            <w:tcW w:w="11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&gt;40%</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对应得分</w:t>
            </w:r>
          </w:p>
        </w:tc>
        <w:tc>
          <w:tcPr>
            <w:tcW w:w="82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160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c>
          <w:tcPr>
            <w:tcW w:w="152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168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c>
          <w:tcPr>
            <w:tcW w:w="11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60</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w w:val="100"/>
          <w:kern w:val="0"/>
          <w:position w:val="0"/>
          <w:sz w:val="32"/>
          <w:szCs w:val="32"/>
          <w:lang w:val="en-US" w:eastAsia="zh-CN" w:bidi="ar"/>
        </w:rPr>
      </w:pPr>
      <w:bookmarkStart w:id="14" w:name="_Toc25007"/>
      <w:r>
        <w:rPr>
          <w:rFonts w:hint="eastAsia" w:ascii="楷体_GB2312" w:hAnsi="楷体_GB2312" w:eastAsia="楷体_GB2312" w:cs="楷体_GB2312"/>
          <w:color w:val="auto"/>
          <w:spacing w:val="0"/>
          <w:w w:val="100"/>
          <w:kern w:val="0"/>
          <w:position w:val="0"/>
          <w:sz w:val="32"/>
          <w:szCs w:val="32"/>
          <w:lang w:val="en-US" w:eastAsia="zh-CN" w:bidi="ar"/>
        </w:rPr>
        <w:t>（二）公平竞争审查第三方评估工作配合情况得分</w:t>
      </w:r>
      <w:bookmarkEnd w:id="14"/>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w w:val="100"/>
          <w:kern w:val="0"/>
          <w:position w:val="0"/>
          <w:sz w:val="32"/>
          <w:szCs w:val="32"/>
          <w:lang w:val="en-US" w:eastAsia="zh-CN" w:bidi="ar"/>
        </w:rPr>
      </w:pPr>
      <w:r>
        <w:rPr>
          <w:rFonts w:hint="eastAsia" w:ascii="仿宋_GB2312" w:hAnsi="仿宋_GB2312" w:eastAsia="仿宋_GB2312" w:cs="仿宋_GB2312"/>
          <w:color w:val="auto"/>
          <w:spacing w:val="0"/>
          <w:w w:val="100"/>
          <w:kern w:val="0"/>
          <w:position w:val="0"/>
          <w:sz w:val="32"/>
          <w:szCs w:val="32"/>
          <w:lang w:val="en-US" w:eastAsia="zh-CN" w:bidi="ar"/>
        </w:rPr>
        <w:t>张掖市经济技术开发区在公平竞争审查工作第三方评估项目中积极配合，及时移交评估所需文件及佐证材料，沟通顺畅，确保了公平竞争审查第三方评估工作顺利开展，按照</w:t>
      </w:r>
      <w:r>
        <w:rPr>
          <w:rFonts w:hint="eastAsia" w:ascii="仿宋_GB2312" w:hAnsi="仿宋_GB2312" w:eastAsia="仿宋_GB2312" w:cs="仿宋_GB2312"/>
          <w:color w:val="auto"/>
          <w:spacing w:val="0"/>
          <w:w w:val="100"/>
          <w:kern w:val="0"/>
          <w:position w:val="0"/>
          <w:sz w:val="32"/>
          <w:szCs w:val="32"/>
          <w:highlight w:val="none"/>
          <w:lang w:val="en-US" w:eastAsia="zh-CN" w:bidi="ar"/>
        </w:rPr>
        <w:t>《张掖市公平竞争审查工作第三方评估执行手册》</w:t>
      </w:r>
      <w:r>
        <w:rPr>
          <w:rFonts w:hint="eastAsia" w:ascii="仿宋_GB2312" w:hAnsi="仿宋_GB2312" w:eastAsia="仿宋_GB2312" w:cs="仿宋_GB2312"/>
          <w:color w:val="auto"/>
          <w:spacing w:val="0"/>
          <w:w w:val="100"/>
          <w:kern w:val="0"/>
          <w:position w:val="0"/>
          <w:sz w:val="32"/>
          <w:szCs w:val="32"/>
          <w:lang w:val="en-US" w:eastAsia="zh-CN" w:bidi="ar"/>
        </w:rPr>
        <w:t>中评估指标量化打分，张掖市经济技术开发区在工作配合情况中得100分。</w:t>
      </w:r>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w w:val="100"/>
          <w:kern w:val="0"/>
          <w:position w:val="0"/>
          <w:sz w:val="32"/>
          <w:szCs w:val="32"/>
          <w:lang w:val="en-US" w:eastAsia="zh-CN" w:bidi="ar"/>
        </w:rPr>
      </w:pPr>
      <w:bookmarkStart w:id="15" w:name="_Toc9734"/>
      <w:r>
        <w:rPr>
          <w:rFonts w:hint="eastAsia" w:ascii="楷体_GB2312" w:hAnsi="楷体_GB2312" w:eastAsia="楷体_GB2312" w:cs="楷体_GB2312"/>
          <w:color w:val="auto"/>
          <w:spacing w:val="0"/>
          <w:w w:val="100"/>
          <w:kern w:val="0"/>
          <w:position w:val="0"/>
          <w:sz w:val="32"/>
          <w:szCs w:val="32"/>
          <w:lang w:val="en-US" w:eastAsia="zh-CN" w:bidi="ar"/>
        </w:rPr>
        <w:t>（三）公平竞争审查第三方评估最终得分</w:t>
      </w:r>
      <w:bookmarkEnd w:id="15"/>
    </w:p>
    <w:p>
      <w:pPr>
        <w:keepNext w:val="0"/>
        <w:keepLines w:val="0"/>
        <w:pageBreakBefore w:val="0"/>
        <w:widowControl w:val="0"/>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color w:val="auto"/>
          <w:spacing w:val="0"/>
          <w:w w:val="100"/>
          <w:kern w:val="0"/>
          <w:position w:val="0"/>
          <w:sz w:val="32"/>
          <w:szCs w:val="32"/>
          <w:lang w:val="en-US" w:eastAsia="zh-CN" w:bidi="ar"/>
        </w:rPr>
      </w:pPr>
      <w:r>
        <w:rPr>
          <w:rFonts w:hint="eastAsia" w:ascii="仿宋_GB2312" w:hAnsi="仿宋_GB2312" w:eastAsia="仿宋_GB2312" w:cs="仿宋_GB2312"/>
          <w:color w:val="auto"/>
          <w:spacing w:val="0"/>
          <w:w w:val="100"/>
          <w:kern w:val="0"/>
          <w:position w:val="0"/>
          <w:sz w:val="32"/>
          <w:szCs w:val="32"/>
          <w:lang w:val="en-US" w:eastAsia="zh-CN" w:bidi="ar"/>
        </w:rPr>
        <w:t>根据最终得分</w:t>
      </w:r>
      <w:r>
        <w:rPr>
          <w:rFonts w:hint="eastAsia" w:ascii="仿宋" w:hAnsi="仿宋" w:eastAsia="仿宋" w:cs="仿宋"/>
          <w:color w:val="auto"/>
          <w:spacing w:val="0"/>
          <w:w w:val="100"/>
          <w:kern w:val="0"/>
          <w:position w:val="0"/>
          <w:sz w:val="32"/>
          <w:szCs w:val="32"/>
          <w:lang w:val="en-US" w:eastAsia="zh-CN" w:bidi="ar"/>
        </w:rPr>
        <w:t>=</w:t>
      </w:r>
      <w:r>
        <w:rPr>
          <w:rFonts w:hint="eastAsia" w:ascii="仿宋_GB2312" w:hAnsi="仿宋_GB2312" w:eastAsia="仿宋_GB2312" w:cs="仿宋_GB2312"/>
          <w:color w:val="auto"/>
          <w:spacing w:val="0"/>
          <w:w w:val="100"/>
          <w:kern w:val="0"/>
          <w:position w:val="0"/>
          <w:sz w:val="32"/>
          <w:szCs w:val="32"/>
          <w:lang w:val="en-US" w:eastAsia="zh-CN" w:bidi="ar"/>
        </w:rPr>
        <w:t>工作部署落实情况评估得分×50%+政策措施评估得分×40%+工作配合情况得分×10%的计算公式，张掖市经济技术开发区最终得分如表4所示：</w:t>
      </w:r>
    </w:p>
    <w:p>
      <w:pPr>
        <w:keepNext w:val="0"/>
        <w:keepLines w:val="0"/>
        <w:pageBreakBefore w:val="0"/>
        <w:widowControl w:val="0"/>
        <w:suppressLineNumbers w:val="0"/>
        <w:kinsoku/>
        <w:wordWrap/>
        <w:overflowPunct/>
        <w:autoSpaceDE w:val="0"/>
        <w:autoSpaceDN/>
        <w:bidi w:val="0"/>
        <w:adjustRightInd/>
        <w:snapToGrid/>
        <w:spacing w:before="0" w:beforeAutospacing="0" w:after="0" w:afterAutospacing="0" w:line="560" w:lineRule="exact"/>
        <w:ind w:left="0" w:leftChars="0" w:right="0" w:rightChars="0" w:firstLine="0" w:firstLineChars="0"/>
        <w:jc w:val="center"/>
        <w:textAlignment w:val="auto"/>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表4张掖市经济技术开发区第三方评估最终得分</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张掖市经济技术开发区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公平竞争审查政策措施评估得分</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81</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81×50%+80×40%+100×10%=82.5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82.5</w:t>
            </w:r>
          </w:p>
        </w:tc>
      </w:tr>
    </w:tbl>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16" w:name="_Toc21692"/>
      <w:r>
        <w:rPr>
          <w:rFonts w:hint="eastAsia" w:ascii="黑体" w:hAnsi="黑体" w:eastAsia="黑体" w:cs="黑体"/>
          <w:b w:val="0"/>
          <w:bCs/>
          <w:color w:val="auto"/>
          <w:spacing w:val="0"/>
          <w:kern w:val="2"/>
          <w:position w:val="0"/>
          <w:sz w:val="32"/>
          <w:szCs w:val="32"/>
          <w:lang w:val="en-US" w:eastAsia="zh-CN" w:bidi="ar"/>
        </w:rPr>
        <w:t>四、意见建议</w:t>
      </w:r>
      <w:bookmarkEnd w:id="16"/>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kern w:val="2"/>
          <w:position w:val="0"/>
          <w:sz w:val="32"/>
          <w:szCs w:val="32"/>
          <w:lang w:val="en-US" w:eastAsia="zh-CN" w:bidi="ar"/>
        </w:rPr>
      </w:pPr>
      <w:bookmarkStart w:id="17" w:name="_Toc7063"/>
      <w:r>
        <w:rPr>
          <w:rFonts w:hint="eastAsia" w:ascii="楷体_GB2312" w:hAnsi="楷体_GB2312" w:eastAsia="楷体_GB2312" w:cs="楷体_GB2312"/>
          <w:bCs w:val="0"/>
          <w:color w:val="auto"/>
          <w:spacing w:val="0"/>
          <w:w w:val="100"/>
          <w:kern w:val="2"/>
          <w:position w:val="0"/>
          <w:sz w:val="32"/>
          <w:szCs w:val="32"/>
          <w:lang w:val="en-US" w:eastAsia="zh-CN" w:bidi="ar"/>
        </w:rPr>
        <w:t>（一）强化责任落实，确保工作顺利开展</w:t>
      </w:r>
      <w:bookmarkEnd w:id="17"/>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w w:val="100"/>
          <w:kern w:val="2"/>
          <w:position w:val="0"/>
          <w:sz w:val="32"/>
          <w:szCs w:val="32"/>
          <w:lang w:val="en-US" w:eastAsia="zh-CN" w:bidi="ar"/>
        </w:rPr>
      </w:pPr>
      <w:r>
        <w:rPr>
          <w:rFonts w:hint="eastAsia" w:ascii="仿宋_GB2312" w:hAnsi="仿宋_GB2312" w:eastAsia="仿宋_GB2312" w:cs="仿宋_GB2312"/>
          <w:bCs w:val="0"/>
          <w:color w:val="auto"/>
          <w:spacing w:val="0"/>
          <w:w w:val="100"/>
          <w:kern w:val="2"/>
          <w:position w:val="0"/>
          <w:sz w:val="32"/>
          <w:szCs w:val="32"/>
          <w:lang w:val="en-US" w:eastAsia="zh-CN" w:bidi="ar"/>
        </w:rPr>
        <w:t>公平竞争审查工作是经济体制改革大背景下的一项新制度，涉及面广，复杂程度高。作为成员单位要充分认识到公平竞争审查工作的长期性和艰巨性，高度重视，严格审查流程，建立完善相应工作机制，加强组织领导，确保公平竞争审查工作顺利开展。</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position w:val="0"/>
          <w:sz w:val="32"/>
          <w:szCs w:val="32"/>
          <w:lang w:val="en-US" w:eastAsia="zh-CN"/>
        </w:rPr>
      </w:pPr>
      <w:bookmarkStart w:id="18" w:name="_Toc15233"/>
      <w:r>
        <w:rPr>
          <w:rFonts w:hint="eastAsia" w:ascii="楷体_GB2312" w:hAnsi="楷体_GB2312" w:eastAsia="楷体_GB2312" w:cs="楷体_GB2312"/>
          <w:bCs w:val="0"/>
          <w:color w:val="auto"/>
          <w:spacing w:val="0"/>
          <w:w w:val="100"/>
          <w:position w:val="0"/>
          <w:sz w:val="32"/>
          <w:szCs w:val="32"/>
          <w:lang w:val="en-US" w:eastAsia="zh-CN"/>
        </w:rPr>
        <w:t>（二）加强宣传培训，增强审查意识</w:t>
      </w:r>
      <w:bookmarkEnd w:id="18"/>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lang w:val="en-US" w:eastAsia="zh-CN"/>
        </w:rPr>
        <w:t>公平竞争审查制度运行不畅、审查质量不高，应纳入审查范围文件未进行审查等问题，很大程度上是各业务科室公平竞争审查意识不强、对公平竞争审查范围理解不到位所致。因此应当从内部培训入手，增强各业务科室政策制定相关人员公平竞争审查意识。</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
          <w:bCs/>
          <w:color w:val="auto"/>
          <w:spacing w:val="0"/>
          <w:w w:val="100"/>
          <w:position w:val="0"/>
          <w:sz w:val="32"/>
          <w:szCs w:val="32"/>
          <w:lang w:val="en-US" w:eastAsia="zh-CN"/>
        </w:rPr>
        <w:t>一是加强本单位公平竞争审查机制与具体实施方案内容学习</w:t>
      </w:r>
      <w:r>
        <w:rPr>
          <w:rFonts w:hint="eastAsia" w:ascii="仿宋_GB2312" w:hAnsi="仿宋_GB2312" w:eastAsia="仿宋_GB2312" w:cs="仿宋_GB2312"/>
          <w:b w:val="0"/>
          <w:bCs w:val="0"/>
          <w:color w:val="auto"/>
          <w:spacing w:val="0"/>
          <w:w w:val="100"/>
          <w:position w:val="0"/>
          <w:sz w:val="32"/>
          <w:szCs w:val="32"/>
          <w:lang w:val="en-US" w:eastAsia="zh-CN"/>
        </w:rPr>
        <w:t>，</w:t>
      </w:r>
      <w:r>
        <w:rPr>
          <w:rFonts w:hint="eastAsia" w:ascii="仿宋_GB2312" w:hAnsi="仿宋_GB2312" w:eastAsia="仿宋_GB2312" w:cs="仿宋_GB2312"/>
          <w:bCs w:val="0"/>
          <w:color w:val="auto"/>
          <w:spacing w:val="0"/>
          <w:w w:val="100"/>
          <w:position w:val="0"/>
          <w:sz w:val="32"/>
          <w:szCs w:val="32"/>
          <w:lang w:val="en-US" w:eastAsia="zh-CN"/>
        </w:rPr>
        <w:t>规范公平竞争审查流程，确保政策制定人员对公平竞争审查流程有认识有了解。相关培训不仅要覆盖到法规科工作人员，各职能科室也要重点学习，确保本科室文件能够按照公平竞争审查机制进行审查。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
          <w:bCs/>
          <w:color w:val="auto"/>
          <w:spacing w:val="0"/>
          <w:w w:val="100"/>
          <w:position w:val="0"/>
          <w:sz w:val="32"/>
          <w:szCs w:val="32"/>
          <w:lang w:val="en-US" w:eastAsia="zh-CN"/>
        </w:rPr>
        <w:t>二是通过案例教育加深对公平竞争审查内容的理解</w:t>
      </w:r>
      <w:r>
        <w:rPr>
          <w:rFonts w:hint="eastAsia" w:ascii="仿宋_GB2312" w:hAnsi="仿宋_GB2312" w:eastAsia="仿宋_GB2312" w:cs="仿宋_GB2312"/>
          <w:b w:val="0"/>
          <w:bCs w:val="0"/>
          <w:color w:val="auto"/>
          <w:spacing w:val="0"/>
          <w:w w:val="100"/>
          <w:position w:val="0"/>
          <w:sz w:val="32"/>
          <w:szCs w:val="32"/>
          <w:lang w:val="en-US" w:eastAsia="zh-CN"/>
        </w:rPr>
        <w:t>，</w:t>
      </w:r>
      <w:r>
        <w:rPr>
          <w:rFonts w:hint="eastAsia" w:ascii="仿宋_GB2312" w:hAnsi="仿宋_GB2312" w:eastAsia="仿宋_GB2312" w:cs="仿宋_GB2312"/>
          <w:bCs w:val="0"/>
          <w:color w:val="auto"/>
          <w:spacing w:val="0"/>
          <w:w w:val="100"/>
          <w:position w:val="0"/>
          <w:sz w:val="32"/>
          <w:szCs w:val="32"/>
          <w:lang w:val="en-US" w:eastAsia="zh-CN"/>
        </w:rPr>
        <w:t>学习本单位已发现的违反公平竞争审查标准的案例，以及全省全市、其他单位典型案例，认真领会公平竞争审查标准。政策措施制定职能科室在政策措施制定过程中，尽可能避免出台违反公平竞争审查标准的政策措施,对于法规科或负责公平竞争审查的职能人员要能及时发现各职能科室所制定的政策措施违反公平竞争审查标准的内容。</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
          <w:bCs/>
          <w:color w:val="auto"/>
          <w:spacing w:val="0"/>
          <w:w w:val="100"/>
          <w:position w:val="0"/>
          <w:sz w:val="32"/>
          <w:szCs w:val="32"/>
          <w:lang w:val="en-US" w:eastAsia="zh-CN"/>
        </w:rPr>
        <w:t>三是充分利用各类新闻媒介和大型活动</w:t>
      </w:r>
      <w:r>
        <w:rPr>
          <w:rFonts w:hint="eastAsia" w:ascii="仿宋_GB2312" w:hAnsi="仿宋_GB2312" w:eastAsia="仿宋_GB2312" w:cs="仿宋_GB2312"/>
          <w:b w:val="0"/>
          <w:bCs w:val="0"/>
          <w:color w:val="auto"/>
          <w:spacing w:val="0"/>
          <w:w w:val="100"/>
          <w:position w:val="0"/>
          <w:sz w:val="32"/>
          <w:szCs w:val="32"/>
          <w:lang w:val="en-US" w:eastAsia="zh-CN"/>
        </w:rPr>
        <w:t>，</w:t>
      </w:r>
      <w:r>
        <w:rPr>
          <w:rFonts w:hint="eastAsia" w:ascii="仿宋_GB2312" w:hAnsi="仿宋_GB2312" w:eastAsia="仿宋_GB2312" w:cs="仿宋_GB2312"/>
          <w:bCs w:val="0"/>
          <w:color w:val="auto"/>
          <w:spacing w:val="0"/>
          <w:w w:val="100"/>
          <w:position w:val="0"/>
          <w:sz w:val="32"/>
          <w:szCs w:val="32"/>
          <w:lang w:val="en-US" w:eastAsia="zh-CN"/>
        </w:rPr>
        <w:t>加大</w:t>
      </w:r>
      <w:r>
        <w:rPr>
          <w:rFonts w:hint="eastAsia" w:ascii="仿宋_GB2312" w:hAnsi="仿宋_GB2312" w:eastAsia="仿宋_GB2312" w:cs="仿宋_GB2312"/>
          <w:color w:val="auto"/>
          <w:spacing w:val="0"/>
          <w:w w:val="100"/>
          <w:position w:val="0"/>
          <w:sz w:val="30"/>
          <w:szCs w:val="30"/>
          <w:lang w:val="en-US" w:eastAsia="zh-CN"/>
        </w:rPr>
        <w:t>对外宣传力度，加强对公平竞争审查各项政策解读和舆论引导能力，增进全社会对</w:t>
      </w:r>
      <w:r>
        <w:rPr>
          <w:rFonts w:hint="eastAsia" w:ascii="仿宋_GB2312" w:hAnsi="仿宋_GB2312" w:eastAsia="仿宋_GB2312" w:cs="仿宋_GB2312"/>
          <w:color w:val="auto"/>
          <w:spacing w:val="0"/>
          <w:w w:val="100"/>
          <w:position w:val="0"/>
          <w:sz w:val="30"/>
          <w:szCs w:val="30"/>
          <w:lang w:val="en-US" w:eastAsia="zh-CN"/>
        </w:rPr>
        <w:t>本单位</w:t>
      </w:r>
      <w:r>
        <w:rPr>
          <w:rFonts w:hint="eastAsia" w:ascii="仿宋_GB2312" w:hAnsi="仿宋_GB2312" w:eastAsia="仿宋_GB2312" w:cs="仿宋_GB2312"/>
          <w:color w:val="auto"/>
          <w:spacing w:val="0"/>
          <w:w w:val="100"/>
          <w:position w:val="0"/>
          <w:sz w:val="30"/>
          <w:szCs w:val="30"/>
          <w:lang w:val="en-US" w:eastAsia="zh-CN"/>
        </w:rPr>
        <w:t>公平竞争审查工作的认识和理解。</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position w:val="0"/>
          <w:sz w:val="32"/>
          <w:szCs w:val="32"/>
          <w:lang w:val="en-US" w:eastAsia="zh-CN"/>
        </w:rPr>
      </w:pPr>
      <w:bookmarkStart w:id="19" w:name="_Toc30212"/>
      <w:r>
        <w:rPr>
          <w:rFonts w:hint="eastAsia" w:ascii="楷体_GB2312" w:hAnsi="楷体_GB2312" w:eastAsia="楷体_GB2312" w:cs="楷体_GB2312"/>
          <w:bCs w:val="0"/>
          <w:color w:val="auto"/>
          <w:spacing w:val="0"/>
          <w:w w:val="100"/>
          <w:position w:val="0"/>
          <w:sz w:val="32"/>
          <w:szCs w:val="32"/>
          <w:lang w:val="en-US" w:eastAsia="zh-CN"/>
        </w:rPr>
        <w:t>（三）聘请第三方进行审查，增强审查专业性</w:t>
      </w:r>
      <w:bookmarkEnd w:id="19"/>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lang w:val="en-US" w:eastAsia="zh-CN"/>
        </w:rPr>
        <w:t>公平竞争审查工作涉及的专业性和政策性都较强，对于工作与政策文件制定涉及市场主体的张掖市经济技术开发区,出台的政策措施需进行公平竞争审查。目前，公平竞争审查工作主要采取先由政策措施起草科室自查，再提交法规科或办公室复查的形式,审查人员工作量大，审查质量难以保证，部分文件的审查工作流于形式，达不到审查效果。因此，建议联合外部的专业力量和团队，采取第三方审查方式，推动审查工作更精准、更专业、更高效。</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position w:val="0"/>
          <w:sz w:val="32"/>
          <w:szCs w:val="32"/>
          <w:lang w:val="en-US" w:eastAsia="zh-CN"/>
        </w:rPr>
      </w:pPr>
      <w:bookmarkStart w:id="20" w:name="_Toc20647"/>
      <w:r>
        <w:rPr>
          <w:rFonts w:hint="eastAsia" w:ascii="楷体_GB2312" w:hAnsi="楷体_GB2312" w:eastAsia="楷体_GB2312" w:cs="楷体_GB2312"/>
          <w:bCs w:val="0"/>
          <w:color w:val="auto"/>
          <w:spacing w:val="0"/>
          <w:w w:val="100"/>
          <w:position w:val="0"/>
          <w:sz w:val="32"/>
          <w:szCs w:val="32"/>
          <w:lang w:val="en-US" w:eastAsia="zh-CN"/>
        </w:rPr>
        <w:t>（四）利用好公平竞争审查投诉举报回应机制</w:t>
      </w:r>
      <w:bookmarkEnd w:id="20"/>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lang w:val="en-US" w:eastAsia="zh-CN"/>
        </w:rPr>
        <w:t>投诉举报回应机制的建立有助于充分发挥公平竞争审查工作中社会监督的作用，是提高公平竞争审查政策透明度的有效途径，张掖市经济技术开发区可以通过公平竞争审查投诉举报“一站式”受理与处理机制，及时回应社会诉求，发现和纠正政策措施中出现的排除和限制竞争的问题。</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440" w:firstLineChars="1700"/>
        <w:jc w:val="both"/>
        <w:textAlignment w:val="auto"/>
        <w:outlineLvl w:val="9"/>
        <w:rPr>
          <w:rFonts w:hint="eastAsia" w:ascii="仿宋_GB2312" w:hAnsi="仿宋_GB2312" w:eastAsia="仿宋_GB2312" w:cs="仿宋_GB2312"/>
          <w:bCs w:val="0"/>
          <w:color w:val="auto"/>
          <w:spacing w:val="0"/>
          <w:w w:val="100"/>
          <w:position w:val="0"/>
          <w:sz w:val="32"/>
          <w:szCs w:val="32"/>
          <w:lang w:val="en-US" w:eastAsia="zh-CN"/>
        </w:rPr>
      </w:pPr>
      <w:r>
        <w:rPr>
          <w:rFonts w:hint="eastAsia" w:ascii="仿宋_GB2312" w:hAnsi="仿宋_GB2312" w:eastAsia="仿宋_GB2312" w:cs="仿宋_GB2312"/>
          <w:bCs w:val="0"/>
          <w:color w:val="auto"/>
          <w:spacing w:val="0"/>
          <w:w w:val="100"/>
          <w:position w:val="0"/>
          <w:sz w:val="32"/>
          <w:szCs w:val="32"/>
          <w:lang w:val="en-US" w:eastAsia="zh-CN"/>
        </w:rPr>
        <w:t>甘肃金彤律师事务所</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440" w:firstLineChars="1700"/>
        <w:jc w:val="both"/>
        <w:textAlignment w:val="auto"/>
        <w:outlineLvl w:val="9"/>
        <w:rPr>
          <w:rFonts w:hint="default" w:ascii="仿宋_GB2312" w:hAnsi="仿宋_GB2312" w:eastAsia="仿宋_GB2312" w:cs="仿宋_GB2312"/>
          <w:bCs w:val="0"/>
          <w:color w:val="auto"/>
          <w:spacing w:val="0"/>
          <w:w w:val="100"/>
          <w:position w:val="0"/>
          <w:sz w:val="32"/>
          <w:szCs w:val="32"/>
          <w:lang w:val="en-US" w:eastAsia="zh-CN"/>
        </w:rPr>
        <w:sectPr>
          <w:footerReference r:id="rId4" w:type="default"/>
          <w:pgSz w:w="11906" w:h="16839"/>
          <w:pgMar w:top="2098" w:right="1474" w:bottom="1984" w:left="1587" w:header="850" w:footer="1417" w:gutter="0"/>
          <w:paperSrc/>
          <w:pgBorders>
            <w:top w:val="none" w:sz="0" w:space="0"/>
            <w:left w:val="none" w:sz="0" w:space="0"/>
            <w:bottom w:val="none" w:sz="0" w:space="0"/>
            <w:right w:val="none" w:sz="0" w:space="0"/>
          </w:pgBorders>
          <w:pgNumType w:fmt="decimal" w:start="1"/>
          <w:cols w:space="0" w:num="1"/>
          <w:rtlGutter w:val="0"/>
          <w:docGrid w:linePitch="0" w:charSpace="0"/>
        </w:sectPr>
      </w:pPr>
      <w:r>
        <w:rPr>
          <w:rFonts w:hint="eastAsia" w:ascii="仿宋_GB2312" w:hAnsi="仿宋_GB2312" w:eastAsia="仿宋_GB2312" w:cs="仿宋_GB2312"/>
          <w:bCs w:val="0"/>
          <w:color w:val="auto"/>
          <w:spacing w:val="0"/>
          <w:w w:val="100"/>
          <w:position w:val="0"/>
          <w:sz w:val="32"/>
          <w:szCs w:val="32"/>
          <w:lang w:val="en-US" w:eastAsia="zh-CN"/>
        </w:rPr>
        <w:t>二零二三年四月三十日</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21" w:name="_bookmark4"/>
      <w:bookmarkEnd w:id="21"/>
      <w:bookmarkStart w:id="22" w:name="_bookmark3"/>
      <w:bookmarkEnd w:id="22"/>
      <w:bookmarkStart w:id="23" w:name="_Toc25526"/>
      <w:bookmarkStart w:id="24" w:name="_Toc22378"/>
      <w:r>
        <w:rPr>
          <w:rFonts w:hint="eastAsia" w:ascii="黑体" w:hAnsi="黑体" w:eastAsia="黑体" w:cs="黑体"/>
          <w:b w:val="0"/>
          <w:bCs/>
          <w:color w:val="auto"/>
          <w:spacing w:val="0"/>
          <w:kern w:val="2"/>
          <w:position w:val="0"/>
          <w:sz w:val="32"/>
          <w:szCs w:val="32"/>
          <w:lang w:val="en-US" w:eastAsia="zh-CN" w:bidi="ar"/>
        </w:rPr>
        <w:t>附件一：经开区政策措施文件目录</w:t>
      </w:r>
      <w:bookmarkEnd w:id="23"/>
      <w:bookmarkEnd w:id="24"/>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25" w:name="_Toc17213"/>
      <w:bookmarkStart w:id="26" w:name="_Toc8075"/>
      <w:r>
        <w:rPr>
          <w:rFonts w:hint="eastAsia" w:ascii="黑体" w:hAnsi="黑体" w:eastAsia="黑体" w:cs="黑体"/>
          <w:b w:val="0"/>
          <w:bCs/>
          <w:color w:val="auto"/>
          <w:spacing w:val="0"/>
          <w:kern w:val="2"/>
          <w:position w:val="0"/>
          <w:sz w:val="28"/>
          <w:szCs w:val="30"/>
          <w:lang w:val="en-US" w:eastAsia="zh-CN" w:bidi="ar"/>
        </w:rPr>
        <w:t>张掖市经济技术开发区政策措施文件目录</w:t>
      </w:r>
      <w:bookmarkEnd w:id="25"/>
      <w:bookmarkEnd w:id="26"/>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8"/>
        <w:gridCol w:w="1811"/>
        <w:gridCol w:w="2872"/>
        <w:gridCol w:w="16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张经党字（2022）44号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招商引资奖励及产业发展扶持优惠办法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张经党字（2022）103号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推进企业投资工业项目“标准地”改革工作实施细则</w:t>
            </w: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张经党字（2022）111号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“亩均效益”综合评价实施意见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张经党字（2022）112号</w:t>
            </w: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推进“一张蓝图把控＋区域评估”实施意见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张经党字（2022）113号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招商引资项目落地承诺制实施细则（实行）</w:t>
            </w: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张经党字（2022）114号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8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推进“飞地经济”发展意见</w:t>
            </w:r>
          </w:p>
        </w:tc>
        <w:tc>
          <w:tcPr>
            <w:tcW w:w="16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27" w:name="_Toc23246"/>
      <w:bookmarkStart w:id="28" w:name="_Toc4256"/>
      <w:r>
        <w:rPr>
          <w:rFonts w:hint="eastAsia" w:ascii="黑体" w:hAnsi="黑体" w:eastAsia="黑体" w:cs="黑体"/>
          <w:b w:val="0"/>
          <w:bCs/>
          <w:color w:val="auto"/>
          <w:spacing w:val="0"/>
          <w:kern w:val="2"/>
          <w:position w:val="0"/>
          <w:sz w:val="32"/>
          <w:szCs w:val="32"/>
          <w:lang w:val="en-US" w:eastAsia="zh-CN" w:bidi="ar"/>
        </w:rPr>
        <w:t>附件二：经开区政策措施评估表</w:t>
      </w:r>
      <w:bookmarkEnd w:id="27"/>
      <w:bookmarkEnd w:id="28"/>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32"/>
          <w:szCs w:val="32"/>
          <w:lang w:val="en-US" w:eastAsia="zh-CN" w:bidi="ar"/>
        </w:rPr>
      </w:pPr>
      <w:bookmarkStart w:id="29" w:name="_Toc3480"/>
      <w:bookmarkStart w:id="30" w:name="_Toc6489"/>
      <w:bookmarkStart w:id="31" w:name="_Toc1257"/>
      <w:r>
        <w:rPr>
          <w:rFonts w:hint="eastAsia" w:ascii="黑体" w:hAnsi="黑体" w:eastAsia="黑体" w:cs="黑体"/>
          <w:b w:val="0"/>
          <w:bCs/>
          <w:color w:val="auto"/>
          <w:spacing w:val="0"/>
          <w:kern w:val="2"/>
          <w:position w:val="0"/>
          <w:sz w:val="28"/>
          <w:szCs w:val="30"/>
          <w:lang w:val="en-US" w:eastAsia="zh-CN" w:bidi="ar"/>
        </w:rPr>
        <w:t>公平竞争第三方审查表</w:t>
      </w:r>
      <w:bookmarkEnd w:id="29"/>
      <w:bookmarkEnd w:id="30"/>
      <w:bookmarkEnd w:id="31"/>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765"/>
        <w:gridCol w:w="3014"/>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张掖经济技术开发区招商引资奖励及产业发展扶持优惠办法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张经党字（2022）44号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404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500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404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500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404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2、是否形成书面书面结论</w:t>
            </w:r>
          </w:p>
        </w:tc>
        <w:tc>
          <w:tcPr>
            <w:tcW w:w="500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7"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未履行征求意见程序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2、违反《公平竞争审查实施细则》第十五条影响生产经营成本标准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（一）不得违法给予特定经营者优惠政策，包括但不限于：1.没有法律、行政法规或者国务院规定依据，给予特定经营者财政奖励和补贴；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安排财政支出一般不得与企业缴纳的税收或非税收收入挂钩，主要指根据企业缴纳的税收或非税收收入情况，采取列收列支或者违法违规采取先征后返、即征即退等形式，对企业进行返还，或者给予企业财政奖励或补贴、减免土地出让收入等优惠政策。</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widowControl w:val="0"/>
        <w:suppressLineNumbers w:val="0"/>
        <w:snapToGrid/>
        <w:spacing w:beforeAutospacing="0" w:afterAutospacing="0" w:line="360" w:lineRule="auto"/>
        <w:ind w:left="0" w:leftChars="0" w:right="0" w:firstLine="0"/>
        <w:jc w:val="center"/>
        <w:outlineLvl w:val="0"/>
        <w:rPr>
          <w:color w:val="auto"/>
        </w:rPr>
      </w:pPr>
      <w:bookmarkStart w:id="32" w:name="_Toc5872"/>
      <w:bookmarkStart w:id="33" w:name="_Toc9640"/>
      <w:r>
        <w:rPr>
          <w:rFonts w:hint="eastAsia" w:ascii="黑体" w:hAnsi="黑体" w:eastAsia="黑体" w:cs="黑体"/>
          <w:b w:val="0"/>
          <w:bCs/>
          <w:color w:val="auto"/>
          <w:spacing w:val="0"/>
          <w:kern w:val="2"/>
          <w:position w:val="0"/>
          <w:sz w:val="28"/>
          <w:szCs w:val="30"/>
          <w:lang w:val="en-US" w:eastAsia="zh-CN" w:bidi="ar"/>
        </w:rPr>
        <w:t>公平竞争第三方审查表</w:t>
      </w:r>
      <w:bookmarkEnd w:id="32"/>
      <w:bookmarkEnd w:id="33"/>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935"/>
        <w:gridCol w:w="340"/>
        <w:gridCol w:w="2238"/>
        <w:gridCol w:w="3541"/>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2"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张掖经济技术开发区推进企业投资工业项目“标准地”改革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工作实施细则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张经党字（2022）103号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5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55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5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55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5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55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28" w:hRule="exact"/>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8109"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widowControl w:val="0"/>
        <w:suppressLineNumbers w:val="0"/>
        <w:snapToGrid/>
        <w:spacing w:beforeAutospacing="0" w:afterAutospacing="0" w:line="360" w:lineRule="auto"/>
        <w:ind w:left="0" w:leftChars="0" w:right="0" w:firstLine="0"/>
        <w:jc w:val="center"/>
        <w:outlineLvl w:val="0"/>
        <w:rPr>
          <w:color w:val="auto"/>
        </w:rPr>
      </w:pPr>
      <w:bookmarkStart w:id="34" w:name="_Toc22453"/>
      <w:bookmarkStart w:id="35" w:name="_Toc3596"/>
      <w:r>
        <w:rPr>
          <w:rFonts w:hint="eastAsia" w:ascii="黑体" w:hAnsi="黑体" w:eastAsia="黑体" w:cs="黑体"/>
          <w:b w:val="0"/>
          <w:bCs/>
          <w:color w:val="auto"/>
          <w:spacing w:val="0"/>
          <w:kern w:val="2"/>
          <w:position w:val="0"/>
          <w:sz w:val="28"/>
          <w:szCs w:val="30"/>
          <w:lang w:val="en-US" w:eastAsia="zh-CN" w:bidi="ar"/>
        </w:rPr>
        <w:t>公平竞争第三方审查表</w:t>
      </w:r>
      <w:bookmarkEnd w:id="34"/>
      <w:bookmarkEnd w:id="35"/>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403"/>
        <w:gridCol w:w="3376"/>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张掖经济技术开发区“亩均效益”综合评价实施意见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6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53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6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53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6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53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widowControl w:val="0"/>
        <w:suppressLineNumbers w:val="0"/>
        <w:snapToGrid/>
        <w:spacing w:beforeAutospacing="0" w:afterAutospacing="0" w:line="360" w:lineRule="auto"/>
        <w:ind w:left="0" w:leftChars="0" w:right="0" w:firstLine="0"/>
        <w:jc w:val="center"/>
        <w:outlineLvl w:val="0"/>
        <w:rPr>
          <w:color w:val="auto"/>
        </w:rPr>
      </w:pPr>
      <w:bookmarkStart w:id="36" w:name="_Toc31033"/>
      <w:bookmarkStart w:id="37" w:name="_Toc27305"/>
      <w:r>
        <w:rPr>
          <w:rFonts w:hint="eastAsia" w:ascii="黑体" w:hAnsi="黑体" w:eastAsia="黑体" w:cs="黑体"/>
          <w:b w:val="0"/>
          <w:bCs/>
          <w:color w:val="auto"/>
          <w:spacing w:val="0"/>
          <w:kern w:val="2"/>
          <w:position w:val="0"/>
          <w:sz w:val="28"/>
          <w:szCs w:val="30"/>
          <w:lang w:val="en-US" w:eastAsia="zh-CN" w:bidi="ar"/>
        </w:rPr>
        <w:t>公平竞争第三方审查表</w:t>
      </w:r>
      <w:bookmarkEnd w:id="36"/>
      <w:bookmarkEnd w:id="37"/>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张掖经济技术开发区推进“一张蓝图把控＋区域评估”实施意见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widowControl w:val="0"/>
        <w:suppressLineNumbers w:val="0"/>
        <w:snapToGrid/>
        <w:spacing w:beforeAutospacing="0" w:afterAutospacing="0" w:line="360" w:lineRule="auto"/>
        <w:ind w:left="0" w:leftChars="0" w:right="0" w:firstLine="0"/>
        <w:jc w:val="center"/>
        <w:outlineLvl w:val="0"/>
        <w:rPr>
          <w:color w:val="auto"/>
        </w:rPr>
      </w:pPr>
      <w:bookmarkStart w:id="38" w:name="_Toc30689"/>
      <w:bookmarkStart w:id="39" w:name="_Toc29281"/>
      <w:r>
        <w:rPr>
          <w:rFonts w:hint="eastAsia" w:ascii="黑体" w:hAnsi="黑体" w:eastAsia="黑体" w:cs="黑体"/>
          <w:b w:val="0"/>
          <w:bCs/>
          <w:color w:val="auto"/>
          <w:spacing w:val="0"/>
          <w:kern w:val="2"/>
          <w:position w:val="0"/>
          <w:sz w:val="28"/>
          <w:szCs w:val="30"/>
          <w:lang w:val="en-US" w:eastAsia="zh-CN" w:bidi="ar"/>
        </w:rPr>
        <w:t>公平竞争第三方审查表</w:t>
      </w:r>
      <w:bookmarkEnd w:id="38"/>
      <w:bookmarkEnd w:id="39"/>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555"/>
        <w:gridCol w:w="3224"/>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张掖经济技术开发区招商引资项目落地承诺制实施细则（实行）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83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521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widowControl w:val="0"/>
        <w:suppressLineNumbers w:val="0"/>
        <w:snapToGrid/>
        <w:spacing w:beforeAutospacing="0" w:afterAutospacing="0" w:line="360" w:lineRule="auto"/>
        <w:ind w:left="0" w:leftChars="0" w:right="0" w:firstLine="0"/>
        <w:jc w:val="center"/>
        <w:outlineLvl w:val="0"/>
        <w:rPr>
          <w:color w:val="auto"/>
        </w:rPr>
      </w:pPr>
      <w:bookmarkStart w:id="40" w:name="_Toc26175"/>
      <w:bookmarkStart w:id="41" w:name="_Toc9661"/>
      <w:r>
        <w:rPr>
          <w:rFonts w:hint="eastAsia" w:ascii="黑体" w:hAnsi="黑体" w:eastAsia="黑体" w:cs="黑体"/>
          <w:b w:val="0"/>
          <w:bCs/>
          <w:color w:val="auto"/>
          <w:spacing w:val="0"/>
          <w:kern w:val="2"/>
          <w:position w:val="0"/>
          <w:sz w:val="28"/>
          <w:szCs w:val="30"/>
          <w:lang w:val="en-US" w:eastAsia="zh-CN" w:bidi="ar"/>
        </w:rPr>
        <w:t>公平竞争第三方审查表</w:t>
      </w:r>
      <w:bookmarkEnd w:id="40"/>
      <w:bookmarkEnd w:id="41"/>
    </w:p>
    <w:tbl>
      <w:tblPr>
        <w:tblStyle w:val="15"/>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282"/>
        <w:gridCol w:w="1509"/>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383"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66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张掖经济技术开发区推进“飞地经济”发展意见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383"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661"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张经党字（2022）114号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张掖经济技术开发区管理委员会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pacing w:val="0"/>
          <w:w w:val="100"/>
          <w:kern w:val="2"/>
          <w:position w:val="0"/>
          <w:sz w:val="32"/>
          <w:szCs w:val="32"/>
          <w:lang w:val="en-US" w:eastAsia="zh-CN"/>
        </w:rPr>
      </w:pPr>
    </w:p>
    <w:sectPr>
      <w:footerReference r:id="rId5" w:type="default"/>
      <w:pgSz w:w="11906" w:h="16839"/>
      <w:pgMar w:top="2098" w:right="1474" w:bottom="1984" w:left="1587" w:header="850" w:footer="1417" w:gutter="0"/>
      <w:paperSrc/>
      <w:pgBorders>
        <w:top w:val="none" w:sz="0" w:space="0"/>
        <w:left w:val="none" w:sz="0" w:space="0"/>
        <w:bottom w:val="none" w:sz="0" w:space="0"/>
        <w:right w:val="none" w:sz="0" w:space="0"/>
      </w:pgBorders>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90"/>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90"/>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FD1841"/>
    <w:multiLevelType w:val="singleLevel"/>
    <w:tmpl w:val="3DFD1841"/>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B02277"/>
    <w:rsid w:val="0315247F"/>
    <w:rsid w:val="03244DB7"/>
    <w:rsid w:val="032D3C39"/>
    <w:rsid w:val="0570020E"/>
    <w:rsid w:val="059867AA"/>
    <w:rsid w:val="05B20F4D"/>
    <w:rsid w:val="05D664C8"/>
    <w:rsid w:val="060C0DA0"/>
    <w:rsid w:val="06961160"/>
    <w:rsid w:val="0742282F"/>
    <w:rsid w:val="085E4B0D"/>
    <w:rsid w:val="0C625CD5"/>
    <w:rsid w:val="0D1772F4"/>
    <w:rsid w:val="0EC94CD0"/>
    <w:rsid w:val="0FAE05D7"/>
    <w:rsid w:val="0FDE5814"/>
    <w:rsid w:val="102869DB"/>
    <w:rsid w:val="1118721B"/>
    <w:rsid w:val="14411E19"/>
    <w:rsid w:val="14531B4D"/>
    <w:rsid w:val="1542384B"/>
    <w:rsid w:val="15475163"/>
    <w:rsid w:val="15E0256A"/>
    <w:rsid w:val="188C755B"/>
    <w:rsid w:val="18CF62D0"/>
    <w:rsid w:val="19265A82"/>
    <w:rsid w:val="199D5860"/>
    <w:rsid w:val="1A540A4D"/>
    <w:rsid w:val="1A7C004F"/>
    <w:rsid w:val="1AAD645B"/>
    <w:rsid w:val="1B65513D"/>
    <w:rsid w:val="1D707D09"/>
    <w:rsid w:val="1F8E612F"/>
    <w:rsid w:val="21F57651"/>
    <w:rsid w:val="2236619B"/>
    <w:rsid w:val="23053362"/>
    <w:rsid w:val="25186BC6"/>
    <w:rsid w:val="2585646C"/>
    <w:rsid w:val="2B783975"/>
    <w:rsid w:val="2D7A0CDD"/>
    <w:rsid w:val="2E29633F"/>
    <w:rsid w:val="30037A0D"/>
    <w:rsid w:val="324230B7"/>
    <w:rsid w:val="32A25549"/>
    <w:rsid w:val="33673B55"/>
    <w:rsid w:val="33C67678"/>
    <w:rsid w:val="35130549"/>
    <w:rsid w:val="384C3EE4"/>
    <w:rsid w:val="3A863D93"/>
    <w:rsid w:val="3D225B7D"/>
    <w:rsid w:val="3DC440B0"/>
    <w:rsid w:val="3EB45CFC"/>
    <w:rsid w:val="41937253"/>
    <w:rsid w:val="485E01D8"/>
    <w:rsid w:val="48DF45C7"/>
    <w:rsid w:val="49DF6AE3"/>
    <w:rsid w:val="4AC22FAD"/>
    <w:rsid w:val="4AE2045F"/>
    <w:rsid w:val="4AE57B9A"/>
    <w:rsid w:val="4B4A7240"/>
    <w:rsid w:val="4D2C76E1"/>
    <w:rsid w:val="4D91089C"/>
    <w:rsid w:val="4EBC3C83"/>
    <w:rsid w:val="4F2C30EB"/>
    <w:rsid w:val="50251C09"/>
    <w:rsid w:val="51C67795"/>
    <w:rsid w:val="52D13310"/>
    <w:rsid w:val="546569FC"/>
    <w:rsid w:val="565C6BA3"/>
    <w:rsid w:val="56AA0660"/>
    <w:rsid w:val="580D6197"/>
    <w:rsid w:val="5A56726E"/>
    <w:rsid w:val="5D5978C4"/>
    <w:rsid w:val="5E3F1F2B"/>
    <w:rsid w:val="5E8A6181"/>
    <w:rsid w:val="5E997D6D"/>
    <w:rsid w:val="5F683CCB"/>
    <w:rsid w:val="62EE098B"/>
    <w:rsid w:val="63E813BF"/>
    <w:rsid w:val="640B731B"/>
    <w:rsid w:val="64AB69FF"/>
    <w:rsid w:val="64AD3F2E"/>
    <w:rsid w:val="662C67C6"/>
    <w:rsid w:val="67A62FFC"/>
    <w:rsid w:val="6A2A5B3A"/>
    <w:rsid w:val="6C352CEF"/>
    <w:rsid w:val="6C8F0B58"/>
    <w:rsid w:val="6D520BC9"/>
    <w:rsid w:val="6EC949FB"/>
    <w:rsid w:val="6FBD1A6C"/>
    <w:rsid w:val="76CF20EA"/>
    <w:rsid w:val="76E40D9D"/>
    <w:rsid w:val="79390301"/>
    <w:rsid w:val="7A195E96"/>
    <w:rsid w:val="7E4F632A"/>
    <w:rsid w:val="7F6E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jc w:val="left"/>
    </w:p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iPriority w:val="0"/>
  </w:style>
  <w:style w:type="paragraph" w:styleId="13">
    <w:name w:val="toc 2"/>
    <w:basedOn w:val="1"/>
    <w:next w:val="1"/>
    <w:uiPriority w:val="0"/>
    <w:pPr>
      <w:ind w:left="420" w:leftChars="200"/>
    </w:pPr>
  </w:style>
  <w:style w:type="paragraph" w:styleId="14">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6">
    <w:name w:val="Table Grid"/>
    <w:basedOn w:val="15"/>
    <w:qFormat/>
    <w:uiPriority w:val="0"/>
    <w:pPr>
      <w:keepNext w:val="0"/>
      <w:keepLines w:val="0"/>
      <w:widowControl w:val="0"/>
      <w:suppressLineNumbers w:val="0"/>
      <w:spacing w:before="0" w:beforeAutospacing="0" w:after="0" w:afterAutospacing="0"/>
      <w:ind w:left="0" w:right="0"/>
      <w:jc w:val="both"/>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8">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9">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微软雅黑" w:hAnsi="微软雅黑" w:eastAsia="微软雅黑" w:cs="微软雅黑"/>
      <w:sz w:val="27"/>
      <w:szCs w:val="27"/>
      <w:lang w:val="en-US" w:eastAsia="en-US" w:bidi="ar-SA"/>
    </w:rPr>
  </w:style>
  <w:style w:type="paragraph" w:customStyle="1" w:styleId="22">
    <w:name w:val="Body text|1"/>
    <w:basedOn w:val="1"/>
    <w:qFormat/>
    <w:uiPriority w:val="0"/>
    <w:pPr>
      <w:keepNext w:val="0"/>
      <w:keepLines w:val="0"/>
      <w:widowControl w:val="0"/>
      <w:suppressLineNumbers w:val="0"/>
      <w:spacing w:before="0" w:beforeAutospacing="0" w:after="0" w:afterAutospacing="0" w:line="388" w:lineRule="auto"/>
      <w:ind w:left="0" w:right="0" w:firstLine="400"/>
      <w:jc w:val="left"/>
    </w:pPr>
    <w:rPr>
      <w:rFonts w:hint="eastAsia" w:ascii="宋体" w:hAnsi="宋体" w:eastAsia="宋体" w:cs="宋体"/>
      <w:color w:val="000000"/>
      <w:spacing w:val="0"/>
      <w:kern w:val="0"/>
      <w:sz w:val="30"/>
      <w:szCs w:val="30"/>
      <w:lang w:val="en-US" w:eastAsia="zh-CN" w:bidi="ar"/>
    </w:rPr>
  </w:style>
  <w:style w:type="paragraph" w:customStyle="1" w:styleId="23">
    <w:name w:val="Heading #2|1"/>
    <w:basedOn w:val="1"/>
    <w:qFormat/>
    <w:uiPriority w:val="0"/>
    <w:pPr>
      <w:keepNext w:val="0"/>
      <w:keepLines w:val="0"/>
      <w:widowControl w:val="0"/>
      <w:suppressLineNumbers w:val="0"/>
      <w:spacing w:before="0" w:beforeAutospacing="0" w:after="700" w:afterAutospacing="0" w:line="542" w:lineRule="exact"/>
      <w:ind w:left="0" w:right="0" w:firstLine="0"/>
      <w:jc w:val="center"/>
      <w:outlineLvl w:val="1"/>
    </w:pPr>
    <w:rPr>
      <w:rFonts w:hint="eastAsia" w:ascii="宋体" w:hAnsi="宋体" w:eastAsia="宋体" w:cs="宋体"/>
      <w:color w:val="000000"/>
      <w:spacing w:val="0"/>
      <w:kern w:val="0"/>
      <w:sz w:val="42"/>
      <w:szCs w:val="42"/>
      <w:lang w:val="en-US" w:eastAsia="zh-CN" w:bidi="ar"/>
    </w:rPr>
  </w:style>
  <w:style w:type="paragraph" w:customStyle="1" w:styleId="24">
    <w:name w:val="WPSOffice手动目录 1"/>
    <w:uiPriority w:val="0"/>
    <w:pPr>
      <w:ind w:leftChars="0"/>
    </w:pPr>
    <w:rPr>
      <w:sz w:val="20"/>
      <w:szCs w:val="20"/>
    </w:rPr>
  </w:style>
  <w:style w:type="paragraph" w:customStyle="1" w:styleId="2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9640</Words>
  <Characters>9832</Characters>
  <Lines>0</Lines>
  <Paragraphs>0</Paragraphs>
  <TotalTime>0</TotalTime>
  <ScaleCrop>false</ScaleCrop>
  <LinksUpToDate>false</LinksUpToDate>
  <CharactersWithSpaces>10189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2023-01-09T04:04:00Z</dcterms:created>
  <dc:creator>笑笑妈</dc:creator>
  <cp:lastModifiedBy>盛斐</cp:lastModifiedBy>
  <dcterms:modified xsi:type="dcterms:W3CDTF">2023-06-23T08:45:35Z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5E72D7BB02C841129248F6962D39EAF2</vt:lpwstr>
  </property>
</Properties>
</file>